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harts/chart1.xml" ContentType="application/vnd.openxmlformats-officedocument.drawingml.chart+xml"/>
  <Override PartName="/word/embeddings/Microsoft_Excel_______.xlsx" ContentType="application/vnd.openxmlformats-officedocument.spreadsheetml.sheet"/>
  <Override PartName="/word/charts/chart2.xml" ContentType="application/vnd.openxmlformats-officedocument.drawingml.chart+xml"/>
  <Override PartName="/word/embeddings/Microsoft_Excel_______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jc w:val="center"/>
        <w:rPr>
          <w:rFonts w:hint="default" w:ascii="ＭＳ ゴシック" w:hAnsi="ＭＳ ゴシック" w:eastAsia="ＭＳ ゴシック"/>
          <w:sz w:val="96"/>
        </w:rPr>
      </w:pPr>
      <w:r>
        <w:rPr>
          <w:rFonts w:hint="eastAsia" w:ascii="ＭＳ ゴシック" w:hAnsi="ＭＳ ゴシック" w:eastAsia="ＭＳ ゴシック"/>
          <w:spacing w:val="192"/>
          <w:kern w:val="0"/>
          <w:sz w:val="96"/>
          <w:fitText w:val="7680" w:id="1"/>
        </w:rPr>
        <w:t>三条市の学</w:t>
      </w:r>
      <w:r>
        <w:rPr>
          <w:rFonts w:hint="eastAsia" w:ascii="ＭＳ ゴシック" w:hAnsi="ＭＳ ゴシック" w:eastAsia="ＭＳ ゴシック"/>
          <w:kern w:val="0"/>
          <w:sz w:val="96"/>
          <w:fitText w:val="7680" w:id="1"/>
        </w:rPr>
        <w:t>校</w:t>
      </w: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－令和４年度学校基本調査から－</w:t>
      </w: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w:t>
      </w:r>
      <w:r>
        <w:rPr>
          <w:rFonts w:hint="eastAsia" w:ascii="ＭＳ ゴシック" w:hAnsi="ＭＳ ゴシック" w:eastAsia="ＭＳ ゴシック"/>
          <w:sz w:val="36"/>
        </w:rPr>
        <w:t>調査期日…令和４年５月１日</w:t>
      </w:r>
      <w:r>
        <w:rPr>
          <w:rFonts w:hint="eastAsia" w:ascii="ＭＳ ゴシック" w:hAnsi="ＭＳ ゴシック" w:eastAsia="ＭＳ ゴシック"/>
          <w:sz w:val="36"/>
        </w:rPr>
        <w:t>)</w:t>
      </w: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pacing w:val="113"/>
          <w:w w:val="81"/>
          <w:kern w:val="0"/>
          <w:sz w:val="36"/>
          <w:fitText w:val="4420" w:id="2"/>
        </w:rPr>
        <w:t>三条市総務部財務</w:t>
      </w:r>
      <w:r>
        <w:rPr>
          <w:rFonts w:hint="eastAsia" w:asciiTheme="majorEastAsia" w:hAnsiTheme="majorEastAsia" w:eastAsiaTheme="majorEastAsia"/>
          <w:spacing w:val="2"/>
          <w:w w:val="81"/>
          <w:kern w:val="0"/>
          <w:sz w:val="36"/>
          <w:fitText w:val="4420" w:id="2"/>
        </w:rPr>
        <w:t>課</w:t>
      </w:r>
    </w:p>
    <w:p>
      <w:pPr>
        <w:pStyle w:val="0"/>
        <w:jc w:val="center"/>
        <w:rPr>
          <w:rFonts w:hint="default" w:asciiTheme="majorEastAsia" w:hAnsiTheme="majorEastAsia" w:eastAsiaTheme="majorEastAsia"/>
          <w:sz w:val="36"/>
        </w:rPr>
      </w:pPr>
      <w:r>
        <w:rPr>
          <w:rFonts w:hint="eastAsia" w:asciiTheme="majorEastAsia" w:hAnsiTheme="majorEastAsia" w:eastAsiaTheme="majorEastAsia"/>
          <w:spacing w:val="226"/>
          <w:kern w:val="0"/>
          <w:sz w:val="36"/>
          <w:fitText w:val="4420" w:id="3"/>
        </w:rPr>
        <w:t>令和５年５</w:t>
      </w:r>
      <w:r>
        <w:rPr>
          <w:rFonts w:hint="eastAsia" w:asciiTheme="majorEastAsia" w:hAnsiTheme="majorEastAsia" w:eastAsiaTheme="majorEastAsia"/>
          <w:spacing w:val="2"/>
          <w:kern w:val="0"/>
          <w:sz w:val="36"/>
          <w:fitText w:val="4420" w:id="3"/>
        </w:rPr>
        <w:t>月</w:t>
      </w: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Ⅰ　　調　査　の　概　要</w:t>
      </w:r>
    </w:p>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１　調査の目的</w:t>
      </w:r>
    </w:p>
    <w:p>
      <w:pPr>
        <w:pStyle w:val="0"/>
        <w:autoSpaceDE w:val="0"/>
        <w:autoSpaceDN w:val="0"/>
        <w:adjustRightInd w:val="0"/>
        <w:ind w:left="139" w:leftChars="73" w:firstLine="183" w:firstLineChars="96"/>
        <w:jc w:val="left"/>
        <w:rPr>
          <w:rFonts w:hint="default" w:ascii="ＭＳ 明朝" w:hAnsi="ＭＳ 明朝"/>
          <w:kern w:val="0"/>
        </w:rPr>
      </w:pPr>
      <w:r>
        <w:rPr>
          <w:rFonts w:hint="eastAsia" w:ascii="ＭＳ 明朝" w:hAnsi="ＭＳ 明朝"/>
          <w:kern w:val="0"/>
        </w:rPr>
        <w:t>この調査は、学校に関する基本的事項を調査し、学校教育行政上の基礎資料を得ることを目的とする。</w:t>
      </w:r>
    </w:p>
    <w:p>
      <w:pPr>
        <w:pStyle w:val="0"/>
        <w:spacing w:line="300" w:lineRule="exact"/>
        <w:rPr>
          <w:rFonts w:hint="default" w:ascii="ＭＳ 明朝" w:hAnsi="ＭＳ 明朝"/>
          <w:sz w:val="20"/>
        </w:rPr>
      </w:pPr>
    </w:p>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２　調査の範囲</w:t>
      </w:r>
    </w:p>
    <w:p>
      <w:pPr>
        <w:pStyle w:val="0"/>
        <w:widowControl w:val="1"/>
        <w:spacing w:line="300" w:lineRule="exact"/>
        <w:ind w:left="181" w:leftChars="95" w:firstLine="180" w:firstLineChars="100"/>
        <w:rPr>
          <w:rFonts w:hint="default" w:ascii="ＭＳ 明朝" w:hAnsi="ＭＳ 明朝"/>
          <w:kern w:val="0"/>
          <w:sz w:val="20"/>
        </w:rPr>
      </w:pPr>
      <w:r>
        <w:rPr>
          <w:rFonts w:hint="eastAsia" w:ascii="ＭＳ 明朝" w:hAnsi="ＭＳ 明朝"/>
          <w:kern w:val="0"/>
          <w:sz w:val="20"/>
        </w:rPr>
        <w:t>市内の幼稚園、幼保連携型認定こども園、小学校、中学校、義務教育学校、高等学校、特別支援学校、専修学校及び各種学校並びに三条市教育委員会</w:t>
      </w:r>
    </w:p>
    <w:p>
      <w:pPr>
        <w:pStyle w:val="0"/>
        <w:spacing w:line="300" w:lineRule="exact"/>
        <w:rPr>
          <w:rFonts w:hint="default" w:ascii="ＭＳ 明朝" w:hAnsi="ＭＳ 明朝"/>
          <w:sz w:val="20"/>
        </w:rPr>
      </w:pPr>
    </w:p>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３　調査期日</w:t>
      </w:r>
    </w:p>
    <w:p>
      <w:pPr>
        <w:pStyle w:val="0"/>
        <w:spacing w:line="300" w:lineRule="exact"/>
        <w:ind w:firstLine="360" w:firstLineChars="200"/>
        <w:rPr>
          <w:rFonts w:hint="default" w:ascii="ＭＳ 明朝" w:hAnsi="ＭＳ 明朝"/>
          <w:sz w:val="20"/>
        </w:rPr>
      </w:pPr>
      <w:r>
        <w:rPr>
          <w:rFonts w:hint="eastAsia" w:ascii="ＭＳ 明朝" w:hAnsi="ＭＳ 明朝"/>
          <w:sz w:val="20"/>
        </w:rPr>
        <w:t>令和４年５月１日</w:t>
      </w:r>
    </w:p>
    <w:p>
      <w:pPr>
        <w:pStyle w:val="0"/>
        <w:spacing w:line="300" w:lineRule="exact"/>
        <w:rPr>
          <w:rFonts w:hint="default" w:ascii="ＭＳ 明朝" w:hAnsi="ＭＳ 明朝"/>
          <w:sz w:val="20"/>
        </w:rPr>
      </w:pPr>
    </w:p>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４　調査の方法</w:t>
      </w:r>
    </w:p>
    <w:p>
      <w:pPr>
        <w:pStyle w:val="26"/>
        <w:numPr>
          <w:ilvl w:val="0"/>
          <w:numId w:val="1"/>
        </w:numPr>
        <w:spacing w:line="300" w:lineRule="exact"/>
        <w:ind w:leftChars="0"/>
        <w:rPr>
          <w:rFonts w:hint="default" w:ascii="ＭＳ 明朝" w:hAnsi="ＭＳ 明朝"/>
          <w:sz w:val="20"/>
        </w:rPr>
      </w:pPr>
      <w:r>
        <w:rPr>
          <w:rFonts w:hint="eastAsia" w:ascii="ＭＳ 明朝" w:hAnsi="ＭＳ 明朝"/>
          <w:sz w:val="20"/>
        </w:rPr>
        <w:t>全数調査</w:t>
      </w:r>
    </w:p>
    <w:p>
      <w:pPr>
        <w:pStyle w:val="0"/>
        <w:spacing w:line="300" w:lineRule="exact"/>
        <w:rPr>
          <w:rFonts w:hint="default" w:ascii="ＭＳ 明朝" w:hAnsi="ＭＳ 明朝"/>
          <w:sz w:val="20"/>
        </w:rPr>
      </w:pPr>
      <w:r>
        <w:rPr>
          <w:rFonts w:hint="eastAsia" w:ascii="ＭＳ 明朝" w:hAnsi="ＭＳ 明朝"/>
          <w:sz w:val="20"/>
        </w:rPr>
        <w:t>　</w:t>
      </w:r>
      <w:r>
        <w:rPr>
          <w:rFonts w:hint="eastAsia" w:ascii="ＭＳ 明朝" w:hAnsi="ＭＳ 明朝"/>
          <w:sz w:val="20"/>
        </w:rPr>
        <w:t>(2)</w:t>
      </w:r>
      <w:r>
        <w:rPr>
          <w:rFonts w:hint="eastAsia" w:ascii="ＭＳ 明朝" w:hAnsi="ＭＳ 明朝"/>
          <w:sz w:val="20"/>
        </w:rPr>
        <w:t>　調査事項</w:t>
      </w:r>
    </w:p>
    <w:p>
      <w:pPr>
        <w:pStyle w:val="0"/>
        <w:tabs>
          <w:tab w:val="left" w:leader="none" w:pos="336"/>
        </w:tabs>
        <w:spacing w:line="300" w:lineRule="exact"/>
        <w:ind w:left="2929" w:leftChars="183" w:hanging="2581" w:hangingChars="1432"/>
        <w:rPr>
          <w:rFonts w:hint="default" w:ascii="ＭＳ 明朝" w:hAnsi="ＭＳ 明朝"/>
          <w:sz w:val="20"/>
        </w:rPr>
      </w:pPr>
      <w:r>
        <w:rPr>
          <w:rFonts w:hint="default" w:ascii="ＭＳ 明朝" w:hAnsi="ＭＳ 明朝"/>
          <w:sz w:val="20"/>
        </w:rPr>
        <w:pict>
          <v:shapetype id="_x0000_t32" coordsize="21600,21600" o:spt="32" o:oned="t" path="m,l21600,21600e" filled="f">
            <v:path arrowok="t" fillok="f" o:connecttype="none"/>
            <o:lock v:ext="edit" shapetype="t"/>
          </v:shapetype>
          <v:shape id="_x0000_s1026" style="mso-position-vertical-relative:text;z-index:4;width:80.75pt;height:0pt;mso-position-horizontal-relative:text;position:absolute;margin-left:68pt;margin-top:9pt;" filled="f" stroked="t" strokeweight="1.5pt" o:spt="32" type="#_x0000_t32">
            <v:fill/>
            <v:stroke endcap="round" dashstyle="shortdot"/>
            <v:imagedata o:title=""/>
            <o:lock v:ext="edit" shapetype="t"/>
            <w10:wrap type="none" anchorx="text" anchory="text"/>
          </v:shape>
        </w:pict>
      </w:r>
      <w:r>
        <w:rPr>
          <w:rFonts w:hint="eastAsia" w:ascii="ＭＳ 明朝" w:hAnsi="ＭＳ 明朝"/>
          <w:sz w:val="20"/>
        </w:rPr>
        <w:t>A</w:t>
      </w:r>
      <w:r>
        <w:rPr>
          <w:rFonts w:hint="eastAsia" w:ascii="ＭＳ 明朝" w:hAnsi="ＭＳ 明朝"/>
          <w:sz w:val="20"/>
        </w:rPr>
        <w:t>　</w:t>
      </w:r>
      <w:r>
        <w:rPr>
          <w:rFonts w:hint="eastAsia" w:ascii="ＭＳ 明朝" w:hAnsi="ＭＳ 明朝"/>
          <w:kern w:val="0"/>
          <w:sz w:val="20"/>
        </w:rPr>
        <w:t>学校調査　　　　　　　　　　</w:t>
      </w:r>
      <w:r>
        <w:rPr>
          <w:rFonts w:hint="eastAsia" w:ascii="ＭＳ 明朝" w:hAnsi="ＭＳ 明朝"/>
          <w:sz w:val="20"/>
        </w:rPr>
        <w:t>学校数、学級数、幼児・児童・生徒数、教職員数</w:t>
      </w:r>
    </w:p>
    <w:p>
      <w:pPr>
        <w:pStyle w:val="0"/>
        <w:spacing w:line="300" w:lineRule="exact"/>
        <w:ind w:left="2929" w:leftChars="183" w:hanging="2581" w:hangingChars="1432"/>
        <w:rPr>
          <w:rFonts w:hint="default" w:ascii="ＭＳ 明朝" w:hAnsi="ＭＳ 明朝"/>
          <w:sz w:val="20"/>
        </w:rPr>
      </w:pPr>
      <w:r>
        <w:rPr>
          <w:rFonts w:hint="default" w:ascii="ＭＳ 明朝" w:hAnsi="ＭＳ 明朝"/>
          <w:sz w:val="20"/>
        </w:rPr>
        <w:pict>
          <v:shapetype id="_x0000_t32" coordsize="21600,21600" o:spt="32" o:oned="t" path="m,l21600,21600e" filled="f">
            <v:path arrowok="t" fillok="f" o:connecttype="none"/>
            <o:lock v:ext="edit" shapetype="t"/>
          </v:shapetype>
          <v:shape id="_x0000_s1027" style="mso-position-vertical-relative:text;z-index:5;width:15.75pt;height:5.e-002pt;mso-position-horizontal-relative:text;position:absolute;margin-left:130pt;margin-top:8.3000000000000007pt;" filled="f" stroked="t" strokeweight="1.5pt" o:spt="32" type="#_x0000_t32">
            <v:fill/>
            <v:stroke endcap="round" dashstyle="shortdot"/>
            <v:imagedata o:title=""/>
            <o:lock v:ext="edit" shapetype="t"/>
            <w10:wrap type="none" anchorx="text" anchory="text"/>
          </v:shape>
        </w:pict>
      </w:r>
      <w:r>
        <w:rPr>
          <w:rFonts w:hint="eastAsia" w:ascii="ＭＳ 明朝" w:hAnsi="ＭＳ 明朝"/>
          <w:sz w:val="20"/>
        </w:rPr>
        <w:t>B</w:t>
      </w:r>
      <w:r>
        <w:rPr>
          <w:rFonts w:hint="eastAsia" w:ascii="ＭＳ 明朝" w:hAnsi="ＭＳ 明朝"/>
          <w:sz w:val="20"/>
        </w:rPr>
        <w:t>　</w:t>
      </w:r>
      <w:r>
        <w:rPr>
          <w:rFonts w:hint="eastAsia" w:ascii="ＭＳ 明朝" w:hAnsi="ＭＳ 明朝"/>
          <w:kern w:val="0"/>
          <w:sz w:val="20"/>
        </w:rPr>
        <w:t>不就学学齢児童生徒調査　　　</w:t>
      </w:r>
      <w:r>
        <w:rPr>
          <w:rFonts w:hint="eastAsia" w:ascii="ＭＳ 明朝" w:hAnsi="ＭＳ 明朝"/>
          <w:sz w:val="20"/>
        </w:rPr>
        <w:t>就学免除・猶予者数、居所不明者数、死亡者数</w:t>
      </w:r>
    </w:p>
    <w:p>
      <w:pPr>
        <w:pStyle w:val="0"/>
        <w:spacing w:line="300" w:lineRule="exact"/>
        <w:ind w:left="2929" w:leftChars="183" w:hanging="2581" w:hangingChars="1432"/>
        <w:rPr>
          <w:rFonts w:hint="default" w:ascii="ＭＳ 明朝" w:hAnsi="ＭＳ 明朝"/>
          <w:sz w:val="20"/>
        </w:rPr>
      </w:pPr>
      <w:r>
        <w:rPr>
          <w:rFonts w:hint="default" w:ascii="ＭＳ 明朝" w:hAnsi="ＭＳ 明朝"/>
          <w:sz w:val="20"/>
        </w:rPr>
        <w:pict>
          <v:shapetype id="_x0000_t32" coordsize="21600,21600" o:spt="32" o:oned="t" path="m,l21600,21600e" filled="f">
            <v:path arrowok="t" fillok="f" o:connecttype="none"/>
            <o:lock v:ext="edit" shapetype="t"/>
          </v:shapetype>
          <v:shape id="_x0000_s1028" style="mso-position-vertical-relative:text;z-index:6;width:20.5pt;height:5.e-002pt;mso-position-horizontal-relative:text;position:absolute;margin-left:128.25pt;margin-top:9.0500000000000007pt;" filled="f" stroked="t" strokeweight="1.5pt" o:spt="32" type="#_x0000_t32">
            <v:fill/>
            <v:stroke endcap="round" dashstyle="shortdot"/>
            <v:imagedata o:title=""/>
            <o:lock v:ext="edit" shapetype="t"/>
            <w10:wrap type="none" anchorx="text" anchory="text"/>
          </v:shape>
        </w:pict>
      </w:r>
      <w:r>
        <w:rPr>
          <w:rFonts w:hint="eastAsia" w:ascii="ＭＳ 明朝" w:hAnsi="ＭＳ 明朝"/>
          <w:sz w:val="20"/>
        </w:rPr>
        <w:t>C</w:t>
      </w:r>
      <w:r>
        <w:rPr>
          <w:rFonts w:hint="eastAsia" w:ascii="ＭＳ 明朝" w:hAnsi="ＭＳ 明朝"/>
          <w:sz w:val="20"/>
        </w:rPr>
        <w:t>　学校施設調査</w:t>
      </w:r>
      <w:r>
        <w:rPr>
          <w:rFonts w:hint="eastAsia" w:ascii="ＭＳ 明朝" w:hAnsi="ＭＳ 明朝"/>
          <w:sz w:val="20"/>
        </w:rPr>
        <w:t>(</w:t>
      </w:r>
      <w:r>
        <w:rPr>
          <w:rFonts w:hint="eastAsia" w:ascii="ＭＳ 明朝" w:hAnsi="ＭＳ 明朝"/>
          <w:sz w:val="20"/>
        </w:rPr>
        <w:t>私立のみ</w:t>
      </w:r>
      <w:r>
        <w:rPr>
          <w:rFonts w:hint="eastAsia" w:ascii="ＭＳ 明朝" w:hAnsi="ＭＳ 明朝"/>
          <w:sz w:val="20"/>
        </w:rPr>
        <w:t>)</w:t>
      </w:r>
      <w:r>
        <w:rPr>
          <w:rFonts w:hint="eastAsia" w:ascii="ＭＳ 明朝" w:hAnsi="ＭＳ 明朝"/>
          <w:sz w:val="20"/>
        </w:rPr>
        <w:t>　　　用途別・構造別等の学校建物面積、用途別等の学校土地面積</w:t>
      </w:r>
    </w:p>
    <w:p>
      <w:pPr>
        <w:pStyle w:val="0"/>
        <w:spacing w:line="300" w:lineRule="exact"/>
        <w:ind w:left="2929" w:leftChars="183" w:hanging="2581" w:hangingChars="1432"/>
        <w:rPr>
          <w:rFonts w:hint="default" w:ascii="ＭＳ 明朝" w:hAnsi="ＭＳ 明朝"/>
          <w:sz w:val="20"/>
        </w:rPr>
      </w:pPr>
      <w:r>
        <w:rPr>
          <w:rFonts w:hint="default" w:ascii="ＭＳ 明朝" w:hAnsi="ＭＳ 明朝"/>
          <w:sz w:val="20"/>
        </w:rPr>
        <w:pict>
          <v:shapetype id="_x0000_t32" coordsize="21600,21600" o:spt="32" o:oned="t" path="m,l21600,21600e" filled="f">
            <v:path arrowok="t" fillok="f" o:connecttype="none"/>
            <o:lock v:ext="edit" shapetype="t"/>
          </v:shapetype>
          <v:shape id="_x0000_s1029" style="mso-position-vertical-relative:text;z-index:7;width:41.25pt;height:5.e-002pt;mso-position-horizontal-relative:text;position:absolute;margin-left:104.5pt;margin-top:9.0500000000000007pt;" filled="f" stroked="t" strokeweight="1.5pt" o:spt="32" type="#_x0000_t32">
            <v:fill/>
            <v:stroke endcap="round" dashstyle="shortdot"/>
            <v:imagedata o:title=""/>
            <o:lock v:ext="edit" shapetype="t"/>
            <w10:wrap type="none" anchorx="text" anchory="text"/>
          </v:shape>
        </w:pict>
      </w:r>
      <w:r>
        <w:rPr>
          <w:rFonts w:hint="eastAsia" w:ascii="ＭＳ 明朝" w:hAnsi="ＭＳ 明朝"/>
          <w:sz w:val="20"/>
        </w:rPr>
        <w:t>D</w:t>
      </w:r>
      <w:r>
        <w:rPr>
          <w:rFonts w:hint="eastAsia" w:ascii="ＭＳ 明朝" w:hAnsi="ＭＳ 明朝"/>
          <w:sz w:val="20"/>
        </w:rPr>
        <w:t>　卒業後の状況調査　　　</w:t>
      </w:r>
      <w:r>
        <w:rPr>
          <w:rFonts w:hint="eastAsia" w:ascii="ＭＳ 明朝" w:hAnsi="ＭＳ 明朝"/>
          <w:sz w:val="20"/>
        </w:rPr>
        <w:t xml:space="preserve">    </w:t>
      </w:r>
      <w:r>
        <w:rPr>
          <w:rFonts w:hint="eastAsia" w:ascii="ＭＳ 明朝" w:hAnsi="ＭＳ 明朝"/>
          <w:sz w:val="20"/>
        </w:rPr>
        <w:t>　卒業者の進学、就職等の状況</w:t>
      </w:r>
    </w:p>
    <w:p>
      <w:pPr>
        <w:pStyle w:val="0"/>
        <w:spacing w:line="300" w:lineRule="exact"/>
        <w:ind w:left="2929" w:leftChars="183" w:hanging="2581" w:hangingChars="1432"/>
        <w:rPr>
          <w:rFonts w:hint="default" w:ascii="ＭＳ 明朝" w:hAnsi="ＭＳ 明朝"/>
          <w:sz w:val="20"/>
        </w:rPr>
      </w:pPr>
    </w:p>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５　用語の定義</w:t>
      </w:r>
    </w:p>
    <w:p>
      <w:pPr>
        <w:pStyle w:val="0"/>
        <w:spacing w:line="300" w:lineRule="exact"/>
        <w:ind w:left="195" w:leftChars="102" w:hanging="1"/>
        <w:rPr>
          <w:rFonts w:hint="default" w:ascii="ＭＳ 明朝" w:hAnsi="ＭＳ 明朝"/>
          <w:sz w:val="20"/>
        </w:rPr>
      </w:pPr>
      <w:r>
        <w:rPr>
          <w:rFonts w:hint="eastAsia" w:ascii="ＭＳ 明朝" w:hAnsi="ＭＳ 明朝"/>
          <w:sz w:val="20"/>
        </w:rPr>
        <w:t>(1)</w:t>
      </w:r>
      <w:r>
        <w:rPr>
          <w:rFonts w:hint="eastAsia" w:ascii="ＭＳ 明朝" w:hAnsi="ＭＳ 明朝"/>
          <w:sz w:val="20"/>
        </w:rPr>
        <w:t>　学級数とは、認可学級数をいう。</w:t>
      </w:r>
    </w:p>
    <w:p>
      <w:pPr>
        <w:pStyle w:val="0"/>
        <w:spacing w:line="300" w:lineRule="exact"/>
        <w:ind w:left="419" w:leftChars="99" w:hanging="231" w:hangingChars="128"/>
        <w:rPr>
          <w:rFonts w:hint="default" w:ascii="ＭＳ 明朝" w:hAnsi="ＭＳ 明朝"/>
          <w:sz w:val="20"/>
        </w:rPr>
      </w:pPr>
      <w:r>
        <w:rPr>
          <w:rFonts w:hint="eastAsia" w:ascii="ＭＳ 明朝" w:hAnsi="ＭＳ 明朝"/>
          <w:sz w:val="20"/>
        </w:rPr>
        <w:t>(2)</w:t>
      </w:r>
      <w:r>
        <w:rPr>
          <w:rFonts w:hint="eastAsia" w:ascii="ＭＳ 明朝" w:hAnsi="ＭＳ 明朝"/>
          <w:sz w:val="20"/>
        </w:rPr>
        <w:t>　教員とは、公立学校では教育委員会から正式に発令されている者をいう。本務と兼務の区別は原則として辞令面による。</w:t>
      </w:r>
    </w:p>
    <w:p>
      <w:pPr>
        <w:pStyle w:val="0"/>
        <w:spacing w:line="300" w:lineRule="exact"/>
        <w:ind w:left="197" w:leftChars="103" w:hanging="1"/>
        <w:rPr>
          <w:rFonts w:hint="default" w:ascii="ＭＳ 明朝" w:hAnsi="ＭＳ 明朝"/>
          <w:sz w:val="20"/>
        </w:rPr>
      </w:pPr>
      <w:r>
        <w:rPr>
          <w:rFonts w:hint="eastAsia" w:ascii="ＭＳ 明朝" w:hAnsi="ＭＳ 明朝"/>
          <w:sz w:val="20"/>
        </w:rPr>
        <w:t>(3)</w:t>
      </w:r>
      <w:r>
        <w:rPr>
          <w:rFonts w:hint="eastAsia" w:ascii="ＭＳ 明朝" w:hAnsi="ＭＳ 明朝"/>
          <w:sz w:val="20"/>
        </w:rPr>
        <w:t>　児童・生徒とは、指導要録が作成されている者をいい、就学猶予の者は除いている。</w:t>
      </w:r>
    </w:p>
    <w:p>
      <w:pPr>
        <w:pStyle w:val="0"/>
        <w:spacing w:line="300" w:lineRule="exact"/>
        <w:ind w:left="197" w:leftChars="103" w:hanging="1"/>
        <w:rPr>
          <w:rFonts w:hint="default" w:ascii="ＭＳ 明朝" w:hAnsi="ＭＳ 明朝"/>
          <w:sz w:val="20"/>
        </w:rPr>
      </w:pPr>
      <w:r>
        <w:rPr>
          <w:rFonts w:hint="eastAsia" w:ascii="ＭＳ 明朝" w:hAnsi="ＭＳ 明朝"/>
          <w:sz w:val="20"/>
        </w:rPr>
        <w:t>(4)</w:t>
      </w:r>
      <w:r>
        <w:rPr>
          <w:rFonts w:hint="eastAsia" w:ascii="ＭＳ 明朝" w:hAnsi="ＭＳ 明朝"/>
          <w:sz w:val="20"/>
        </w:rPr>
        <w:t>　進学者とは、学校教育法第</w:t>
      </w:r>
      <w:r>
        <w:rPr>
          <w:rFonts w:hint="eastAsia" w:ascii="ＭＳ 明朝" w:hAnsi="ＭＳ 明朝"/>
          <w:sz w:val="20"/>
        </w:rPr>
        <w:t>1</w:t>
      </w:r>
      <w:r>
        <w:rPr>
          <w:rFonts w:hint="eastAsia" w:ascii="ＭＳ 明朝" w:hAnsi="ＭＳ 明朝"/>
          <w:sz w:val="20"/>
        </w:rPr>
        <w:t>条の学校に入学した者をいう。</w:t>
      </w:r>
    </w:p>
    <w:p>
      <w:pPr>
        <w:pStyle w:val="0"/>
        <w:spacing w:line="300" w:lineRule="exact"/>
        <w:ind w:left="197" w:leftChars="103" w:hanging="1"/>
        <w:rPr>
          <w:rFonts w:hint="default" w:ascii="ＭＳ 明朝" w:hAnsi="ＭＳ 明朝"/>
          <w:sz w:val="20"/>
        </w:rPr>
      </w:pPr>
      <w:r>
        <w:rPr>
          <w:rFonts w:hint="eastAsia" w:ascii="ＭＳ 明朝" w:hAnsi="ＭＳ 明朝"/>
          <w:sz w:val="20"/>
        </w:rPr>
        <w:t>(5)</w:t>
      </w:r>
      <w:r>
        <w:rPr>
          <w:rFonts w:hint="eastAsia" w:ascii="ＭＳ 明朝" w:hAnsi="ＭＳ 明朝"/>
          <w:sz w:val="20"/>
        </w:rPr>
        <w:t>　就職者とは、給料、賃金その他の経常的収入を目的とする仕事に就いた者をいう。</w:t>
      </w:r>
    </w:p>
    <w:p>
      <w:pPr>
        <w:pStyle w:val="0"/>
        <w:spacing w:line="300" w:lineRule="exact"/>
        <w:ind w:left="423" w:leftChars="102" w:hanging="229" w:hangingChars="127"/>
        <w:rPr>
          <w:rFonts w:hint="default" w:ascii="ＭＳ 明朝" w:hAnsi="ＭＳ 明朝"/>
          <w:sz w:val="20"/>
        </w:rPr>
      </w:pPr>
      <w:r>
        <w:rPr>
          <w:rFonts w:hint="eastAsia" w:ascii="ＭＳ 明朝" w:hAnsi="ＭＳ 明朝"/>
          <w:sz w:val="20"/>
        </w:rPr>
        <w:t xml:space="preserve">(6)  </w:t>
      </w:r>
      <w:r>
        <w:rPr>
          <w:rFonts w:hint="eastAsia" w:ascii="ＭＳ 明朝" w:hAnsi="ＭＳ 明朝"/>
          <w:sz w:val="20"/>
        </w:rPr>
        <w:t>公共職業能力開発支援施設等とは、職業能力開発促進法に基づき設置された施設や、学校として認　可されていない厚生労働省所管の看護師養成施設などをいう。</w:t>
      </w:r>
    </w:p>
    <w:p>
      <w:pPr>
        <w:pStyle w:val="0"/>
        <w:spacing w:line="300" w:lineRule="exact"/>
        <w:ind w:left="197" w:leftChars="103" w:hanging="1"/>
        <w:rPr>
          <w:rFonts w:hint="default" w:ascii="ＭＳ 明朝" w:hAnsi="ＭＳ 明朝"/>
          <w:sz w:val="20"/>
        </w:rPr>
      </w:pPr>
      <w:r>
        <w:rPr>
          <w:rFonts w:hint="eastAsia" w:ascii="ＭＳ 明朝" w:hAnsi="ＭＳ 明朝"/>
          <w:sz w:val="20"/>
        </w:rPr>
        <w:t xml:space="preserve">(7)  </w:t>
      </w:r>
      <w:r>
        <w:rPr>
          <w:rFonts w:hint="eastAsia" w:ascii="ＭＳ 明朝" w:hAnsi="ＭＳ 明朝"/>
          <w:sz w:val="20"/>
        </w:rPr>
        <w:t>左記以外の者とは、卒業後、進学でも就職でもないことが明らかな者をいう。</w:t>
      </w:r>
    </w:p>
    <w:p>
      <w:pPr>
        <w:pStyle w:val="0"/>
        <w:spacing w:line="300" w:lineRule="exact"/>
        <w:ind w:left="197" w:leftChars="103" w:hanging="1"/>
        <w:rPr>
          <w:rFonts w:hint="default" w:ascii="ＭＳ 明朝" w:hAnsi="ＭＳ 明朝"/>
          <w:sz w:val="20"/>
        </w:rPr>
      </w:pPr>
      <w:r>
        <w:rPr>
          <w:rFonts w:hint="eastAsia" w:ascii="ＭＳ 明朝" w:hAnsi="ＭＳ 明朝"/>
          <w:sz w:val="20"/>
        </w:rPr>
        <w:t xml:space="preserve"> </w:t>
      </w:r>
    </w:p>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６　利用上の注意</w:t>
      </w:r>
    </w:p>
    <w:p>
      <w:pPr>
        <w:pStyle w:val="0"/>
        <w:spacing w:line="300" w:lineRule="exact"/>
        <w:ind w:firstLine="112" w:firstLineChars="62"/>
        <w:rPr>
          <w:rFonts w:hint="default" w:ascii="ＭＳ 明朝" w:hAnsi="ＭＳ 明朝"/>
          <w:sz w:val="20"/>
        </w:rPr>
      </w:pPr>
      <w:r>
        <w:rPr>
          <w:rFonts w:hint="eastAsia" w:ascii="ＭＳ 明朝" w:hAnsi="ＭＳ 明朝"/>
          <w:sz w:val="20"/>
        </w:rPr>
        <w:t>(1)</w:t>
      </w:r>
      <w:r>
        <w:rPr>
          <w:rFonts w:hint="eastAsia" w:ascii="ＭＳ 明朝" w:hAnsi="ＭＳ 明朝"/>
          <w:sz w:val="20"/>
        </w:rPr>
        <w:t>　本書表中の記号の用法は次のとおりである。</w:t>
      </w:r>
    </w:p>
    <w:p>
      <w:pPr>
        <w:pStyle w:val="0"/>
        <w:spacing w:line="300" w:lineRule="exact"/>
        <w:ind w:firstLine="180" w:firstLineChars="100"/>
        <w:rPr>
          <w:rFonts w:hint="default" w:ascii="ＭＳ 明朝" w:hAnsi="ＭＳ 明朝"/>
          <w:sz w:val="20"/>
        </w:rPr>
      </w:pPr>
      <w:r>
        <w:rPr>
          <w:rFonts w:hint="eastAsia" w:ascii="ＭＳ 明朝" w:hAnsi="ＭＳ 明朝"/>
          <w:sz w:val="20"/>
        </w:rPr>
        <w:t>　　〔－〕　･･･　</w:t>
      </w:r>
      <w:r>
        <w:rPr>
          <w:rFonts w:hint="eastAsia" w:ascii="ＭＳ 明朝" w:hAnsi="ＭＳ 明朝"/>
          <w:sz w:val="20"/>
        </w:rPr>
        <w:t>0</w:t>
      </w:r>
      <w:r>
        <w:rPr>
          <w:rFonts w:hint="eastAsia" w:ascii="ＭＳ 明朝" w:hAnsi="ＭＳ 明朝"/>
          <w:sz w:val="20"/>
        </w:rPr>
        <w:t>または数値の該当がないもの　　</w:t>
      </w:r>
    </w:p>
    <w:p>
      <w:pPr>
        <w:pStyle w:val="0"/>
        <w:spacing w:line="300" w:lineRule="exact"/>
        <w:ind w:firstLine="541" w:firstLineChars="300"/>
        <w:rPr>
          <w:rFonts w:hint="default" w:ascii="ＭＳ 明朝" w:hAnsi="ＭＳ 明朝"/>
          <w:sz w:val="20"/>
        </w:rPr>
      </w:pPr>
      <w:r>
        <w:rPr>
          <w:rFonts w:hint="eastAsia" w:ascii="ＭＳ 明朝" w:hAnsi="ＭＳ 明朝"/>
          <w:sz w:val="20"/>
        </w:rPr>
        <w:t>〔△〕　･･･　数値がマイナスのもの</w:t>
      </w:r>
    </w:p>
    <w:p>
      <w:pPr>
        <w:pStyle w:val="0"/>
        <w:spacing w:line="300" w:lineRule="exact"/>
        <w:ind w:firstLine="541" w:firstLineChars="300"/>
        <w:rPr>
          <w:rFonts w:hint="default" w:ascii="ＭＳ 明朝" w:hAnsi="ＭＳ 明朝"/>
          <w:sz w:val="20"/>
        </w:rPr>
      </w:pP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　数値があり得ない場合または数値を入手していないもの</w:t>
      </w:r>
    </w:p>
    <w:p>
      <w:pPr>
        <w:pStyle w:val="0"/>
        <w:spacing w:line="300" w:lineRule="exact"/>
        <w:ind w:left="361" w:leftChars="59" w:hanging="249" w:hangingChars="138"/>
        <w:rPr>
          <w:rFonts w:hint="default" w:ascii="ＭＳ 明朝" w:hAnsi="ＭＳ 明朝"/>
          <w:sz w:val="20"/>
        </w:rPr>
      </w:pPr>
      <w:r>
        <w:rPr>
          <w:rFonts w:hint="eastAsia" w:ascii="ＭＳ 明朝" w:hAnsi="ＭＳ 明朝"/>
          <w:sz w:val="20"/>
        </w:rPr>
        <w:t>(2)</w:t>
      </w:r>
      <w:r>
        <w:rPr>
          <w:rFonts w:hint="eastAsia" w:ascii="ＭＳ 明朝" w:hAnsi="ＭＳ 明朝"/>
          <w:sz w:val="20"/>
        </w:rPr>
        <w:t>　比率算出に関しては、小数第２位を四捨五入しているため、総数と一致しないことがある。</w:t>
      </w:r>
    </w:p>
    <w:p>
      <w:pPr>
        <w:pStyle w:val="0"/>
        <w:spacing w:line="300" w:lineRule="exact"/>
        <w:ind w:left="362" w:leftChars="52" w:hanging="263" w:hangingChars="146"/>
        <w:rPr>
          <w:rFonts w:hint="default" w:ascii="ＭＳ 明朝" w:hAnsi="ＭＳ 明朝"/>
          <w:sz w:val="20"/>
        </w:rPr>
      </w:pPr>
    </w:p>
    <w:p>
      <w:pPr>
        <w:pStyle w:val="0"/>
        <w:spacing w:line="300" w:lineRule="exact"/>
        <w:rPr>
          <w:rFonts w:hint="default" w:ascii="ＭＳ 明朝" w:hAnsi="ＭＳ 明朝"/>
          <w:sz w:val="20"/>
        </w:rPr>
      </w:pPr>
    </w:p>
    <w:p>
      <w:pPr>
        <w:pStyle w:val="0"/>
        <w:spacing w:line="300" w:lineRule="exact"/>
        <w:rPr>
          <w:rFonts w:hint="default" w:ascii="ＭＳ 明朝" w:hAnsi="ＭＳ 明朝"/>
          <w:sz w:val="20"/>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00" w:lineRule="exact"/>
        <w:rPr>
          <w:rFonts w:hint="default" w:ascii="ＭＳ 明朝" w:hAnsi="ＭＳ 明朝"/>
        </w:rPr>
      </w:pPr>
    </w:p>
    <w:p>
      <w:pPr>
        <w:pStyle w:val="0"/>
        <w:spacing w:line="320" w:lineRule="exact"/>
        <w:jc w:val="center"/>
        <w:rPr>
          <w:rFonts w:hint="default" w:ascii="ＭＳ ゴシック" w:hAnsi="ＭＳ ゴシック" w:eastAsia="ＭＳ ゴシック"/>
          <w:sz w:val="32"/>
        </w:rPr>
      </w:pPr>
    </w:p>
    <w:p>
      <w:pPr>
        <w:pStyle w:val="0"/>
        <w:spacing w:line="32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Ⅱ　　結　果　の　概　要</w:t>
      </w:r>
    </w:p>
    <w:p>
      <w:pPr>
        <w:pStyle w:val="0"/>
        <w:spacing w:line="320" w:lineRule="exact"/>
        <w:jc w:val="center"/>
        <w:rPr>
          <w:rFonts w:hint="default" w:ascii="ＭＳ ゴシック" w:hAnsi="ＭＳ ゴシック" w:eastAsia="ＭＳ ゴシック"/>
          <w:sz w:val="32"/>
        </w:rPr>
      </w:pPr>
    </w:p>
    <w:p>
      <w:pPr>
        <w:pStyle w:val="0"/>
        <w:spacing w:line="320" w:lineRule="exact"/>
        <w:rPr>
          <w:rFonts w:hint="eastAsia" w:ascii="ＭＳ ゴシック" w:hAnsi="ＭＳ ゴシック" w:eastAsia="ＭＳ ゴシック"/>
          <w:sz w:val="20"/>
        </w:rPr>
      </w:pPr>
      <w:r>
        <w:rPr>
          <w:rFonts w:hint="eastAsia" w:ascii="ＭＳ ゴシック" w:hAnsi="ＭＳ ゴシック" w:eastAsia="ＭＳ ゴシック"/>
          <w:sz w:val="20"/>
        </w:rPr>
        <w:t>１　学校数、学級数、本務教員数、教員</w:t>
      </w:r>
      <w:r>
        <w:rPr>
          <w:rFonts w:hint="eastAsia" w:ascii="ＭＳ ゴシック" w:hAnsi="ＭＳ ゴシック" w:eastAsia="ＭＳ ゴシック"/>
          <w:sz w:val="20"/>
        </w:rPr>
        <w:t>1</w:t>
      </w:r>
      <w:r>
        <w:rPr>
          <w:rFonts w:hint="eastAsia" w:ascii="ＭＳ ゴシック" w:hAnsi="ＭＳ ゴシック" w:eastAsia="ＭＳ ゴシック"/>
          <w:sz w:val="20"/>
        </w:rPr>
        <w:t>人当たり園児・児童・生徒数</w:t>
      </w:r>
    </w:p>
    <w:tbl>
      <w:tblPr>
        <w:tblStyle w:val="29"/>
        <w:tblW w:w="6237" w:type="dxa"/>
        <w:tblInd w:w="108" w:type="dxa"/>
        <w:tblLayout w:type="fixed"/>
        <w:tblLook w:firstRow="1" w:lastRow="0" w:firstColumn="1" w:lastColumn="0" w:noHBand="0" w:noVBand="1" w:val="04A0"/>
      </w:tblPr>
      <w:tblGrid>
        <w:gridCol w:w="1358"/>
        <w:gridCol w:w="406"/>
        <w:gridCol w:w="1173"/>
        <w:gridCol w:w="1100"/>
        <w:gridCol w:w="1100"/>
        <w:gridCol w:w="1100"/>
      </w:tblGrid>
      <w:tr>
        <w:trPr>
          <w:trHeight w:val="397" w:hRule="atLeast"/>
        </w:trPr>
        <w:tc>
          <w:tcPr>
            <w:tcW w:w="1764" w:type="dxa"/>
            <w:gridSpan w:val="2"/>
            <w:vMerge w:val="restart"/>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区分</w:t>
            </w:r>
          </w:p>
        </w:tc>
        <w:tc>
          <w:tcPr>
            <w:tcW w:w="1173" w:type="dxa"/>
            <w:vMerge w:val="restart"/>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学校数</w:t>
            </w:r>
          </w:p>
        </w:tc>
        <w:tc>
          <w:tcPr>
            <w:tcW w:w="1100" w:type="dxa"/>
            <w:vMerge w:val="restart"/>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学級数</w:t>
            </w:r>
          </w:p>
        </w:tc>
        <w:tc>
          <w:tcPr>
            <w:tcW w:w="1100" w:type="dxa"/>
            <w:vMerge w:val="restart"/>
            <w:vAlign w:val="center"/>
          </w:tcPr>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本務教員数</w:t>
            </w:r>
            <w:r>
              <w:rPr>
                <w:rFonts w:hint="eastAsia" w:ascii="ＭＳ Ｐ明朝" w:hAnsi="ＭＳ Ｐ明朝" w:eastAsia="ＭＳ Ｐ明朝"/>
                <w:sz w:val="18"/>
              </w:rPr>
              <w:t>(</w:t>
            </w:r>
            <w:r>
              <w:rPr>
                <w:rFonts w:hint="eastAsia" w:ascii="ＭＳ Ｐ明朝" w:hAnsi="ＭＳ Ｐ明朝" w:eastAsia="ＭＳ Ｐ明朝"/>
                <w:sz w:val="18"/>
              </w:rPr>
              <w:t>人</w:t>
            </w:r>
            <w:r>
              <w:rPr>
                <w:rFonts w:hint="eastAsia" w:ascii="ＭＳ Ｐ明朝" w:hAnsi="ＭＳ Ｐ明朝" w:eastAsia="ＭＳ Ｐ明朝"/>
                <w:sz w:val="18"/>
              </w:rPr>
              <w:t>)</w:t>
            </w:r>
          </w:p>
        </w:tc>
        <w:tc>
          <w:tcPr>
            <w:tcW w:w="1100" w:type="dxa"/>
            <w:vMerge w:val="restart"/>
            <w:vAlign w:val="center"/>
          </w:tcPr>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本務教員</w:t>
            </w:r>
          </w:p>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1</w:t>
            </w:r>
            <w:r>
              <w:rPr>
                <w:rFonts w:hint="eastAsia" w:ascii="ＭＳ Ｐ明朝" w:hAnsi="ＭＳ Ｐ明朝" w:eastAsia="ＭＳ Ｐ明朝"/>
                <w:sz w:val="18"/>
              </w:rPr>
              <w:t>人当たり</w:t>
            </w:r>
          </w:p>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園児・児童・生徒数</w:t>
            </w:r>
            <w:r>
              <w:rPr>
                <w:rFonts w:hint="eastAsia" w:ascii="ＭＳ Ｐ明朝" w:hAnsi="ＭＳ Ｐ明朝" w:eastAsia="ＭＳ Ｐ明朝"/>
                <w:sz w:val="18"/>
              </w:rPr>
              <w:t>(</w:t>
            </w:r>
            <w:r>
              <w:rPr>
                <w:rFonts w:hint="eastAsia" w:ascii="ＭＳ Ｐ明朝" w:hAnsi="ＭＳ Ｐ明朝" w:eastAsia="ＭＳ Ｐ明朝"/>
                <w:sz w:val="18"/>
              </w:rPr>
              <w:t>人</w:t>
            </w:r>
            <w:r>
              <w:rPr>
                <w:rFonts w:hint="eastAsia" w:ascii="ＭＳ Ｐ明朝" w:hAnsi="ＭＳ Ｐ明朝" w:eastAsia="ＭＳ Ｐ明朝"/>
                <w:sz w:val="18"/>
              </w:rPr>
              <w:t>)</w:t>
            </w:r>
          </w:p>
        </w:tc>
      </w:tr>
      <w:tr>
        <w:trPr>
          <w:trHeight w:val="320" w:hRule="atLeast"/>
        </w:trPr>
        <w:tc>
          <w:tcPr>
            <w:tcW w:w="1764" w:type="dxa"/>
            <w:gridSpan w:val="2"/>
            <w:vMerge w:val="continue"/>
            <w:vAlign w:val="top"/>
          </w:tcPr>
          <w:p>
            <w:pPr>
              <w:pStyle w:val="0"/>
              <w:spacing w:line="320" w:lineRule="exact"/>
              <w:rPr>
                <w:rFonts w:hint="default" w:ascii="ＭＳ Ｐ明朝" w:hAnsi="ＭＳ Ｐ明朝" w:eastAsia="ＭＳ Ｐ明朝"/>
                <w:sz w:val="20"/>
              </w:rPr>
            </w:pPr>
          </w:p>
        </w:tc>
        <w:tc>
          <w:tcPr>
            <w:tcW w:w="1173" w:type="dxa"/>
            <w:vMerge w:val="continue"/>
            <w:vAlign w:val="top"/>
          </w:tcPr>
          <w:p>
            <w:pPr>
              <w:pStyle w:val="0"/>
              <w:spacing w:line="320" w:lineRule="exact"/>
              <w:rPr>
                <w:rFonts w:hint="default" w:ascii="ＭＳ Ｐ明朝" w:hAnsi="ＭＳ Ｐ明朝" w:eastAsia="ＭＳ Ｐ明朝"/>
                <w:sz w:val="20"/>
              </w:rPr>
            </w:pPr>
          </w:p>
        </w:tc>
        <w:tc>
          <w:tcPr>
            <w:tcW w:w="1100" w:type="dxa"/>
            <w:vMerge w:val="continue"/>
            <w:vAlign w:val="top"/>
          </w:tcPr>
          <w:p>
            <w:pPr>
              <w:pStyle w:val="0"/>
              <w:spacing w:line="320" w:lineRule="exact"/>
              <w:rPr>
                <w:rFonts w:hint="default" w:ascii="ＭＳ Ｐ明朝" w:hAnsi="ＭＳ Ｐ明朝" w:eastAsia="ＭＳ Ｐ明朝"/>
                <w:sz w:val="20"/>
              </w:rPr>
            </w:pPr>
          </w:p>
        </w:tc>
        <w:tc>
          <w:tcPr>
            <w:tcW w:w="1100" w:type="dxa"/>
            <w:vMerge w:val="continue"/>
            <w:vAlign w:val="top"/>
          </w:tcPr>
          <w:p>
            <w:pPr>
              <w:pStyle w:val="0"/>
              <w:spacing w:line="320" w:lineRule="exact"/>
              <w:rPr>
                <w:rFonts w:hint="default" w:ascii="ＭＳ Ｐ明朝" w:hAnsi="ＭＳ Ｐ明朝" w:eastAsia="ＭＳ Ｐ明朝"/>
                <w:sz w:val="20"/>
              </w:rPr>
            </w:pPr>
          </w:p>
        </w:tc>
        <w:tc>
          <w:tcPr>
            <w:tcW w:w="1100" w:type="dxa"/>
            <w:vMerge w:val="continue"/>
            <w:vAlign w:val="top"/>
          </w:tcPr>
          <w:p>
            <w:pPr>
              <w:pStyle w:val="0"/>
              <w:spacing w:line="320" w:lineRule="exact"/>
              <w:rPr>
                <w:rFonts w:hint="default" w:ascii="ＭＳ Ｐ明朝" w:hAnsi="ＭＳ Ｐ明朝" w:eastAsia="ＭＳ Ｐ明朝"/>
                <w:sz w:val="20"/>
              </w:rPr>
            </w:pP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幼稚園</w:t>
            </w:r>
          </w:p>
        </w:tc>
        <w:tc>
          <w:tcPr>
            <w:tcW w:w="406" w:type="dxa"/>
            <w:vAlign w:val="center"/>
          </w:tcPr>
          <w:p>
            <w:pPr>
              <w:pStyle w:val="0"/>
              <w:spacing w:line="320" w:lineRule="exact"/>
              <w:jc w:val="center"/>
              <w:rPr>
                <w:rFonts w:hint="default" w:ascii="ＭＳ Ｐ明朝" w:hAnsi="ＭＳ Ｐ明朝" w:eastAsia="ＭＳ Ｐ明朝"/>
                <w:sz w:val="20"/>
              </w:rPr>
            </w:pPr>
            <w:r>
              <w:rPr>
                <w:rFonts w:hint="eastAsia" w:ascii="ＭＳ Ｐ明朝" w:hAnsi="ＭＳ Ｐ明朝" w:eastAsia="ＭＳ Ｐ明朝"/>
                <w:sz w:val="20"/>
              </w:rPr>
              <w:t>私</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3</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10</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17</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6.4</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幼保連携型</w:t>
            </w:r>
          </w:p>
          <w:p>
            <w:pPr>
              <w:pStyle w:val="0"/>
              <w:jc w:val="center"/>
              <w:rPr>
                <w:rFonts w:hint="default" w:ascii="ＭＳ Ｐ明朝" w:hAnsi="ＭＳ Ｐ明朝" w:eastAsia="ＭＳ Ｐ明朝"/>
                <w:sz w:val="20"/>
              </w:rPr>
            </w:pPr>
            <w:r>
              <w:rPr>
                <w:rFonts w:hint="eastAsia" w:ascii="ＭＳ Ｐ明朝" w:hAnsi="ＭＳ Ｐ明朝" w:eastAsia="ＭＳ Ｐ明朝"/>
                <w:sz w:val="20"/>
              </w:rPr>
              <w:t>認定こども園</w:t>
            </w:r>
          </w:p>
        </w:tc>
        <w:tc>
          <w:tcPr>
            <w:tcW w:w="406" w:type="dxa"/>
            <w:vAlign w:val="center"/>
          </w:tcPr>
          <w:p>
            <w:pPr>
              <w:pStyle w:val="0"/>
              <w:spacing w:line="480" w:lineRule="auto"/>
              <w:jc w:val="center"/>
              <w:rPr>
                <w:rFonts w:hint="default" w:ascii="ＭＳ Ｐ明朝" w:hAnsi="ＭＳ Ｐ明朝" w:eastAsia="ＭＳ Ｐ明朝"/>
                <w:sz w:val="20"/>
              </w:rPr>
            </w:pPr>
            <w:r>
              <w:rPr>
                <w:rFonts w:hint="eastAsia" w:ascii="ＭＳ Ｐ明朝" w:hAnsi="ＭＳ Ｐ明朝" w:eastAsia="ＭＳ Ｐ明朝"/>
                <w:sz w:val="20"/>
              </w:rPr>
              <w:t>私</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3</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14</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41</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6.7</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小学校</w:t>
            </w:r>
          </w:p>
        </w:tc>
        <w:tc>
          <w:tcPr>
            <w:tcW w:w="406" w:type="dxa"/>
            <w:vAlign w:val="center"/>
          </w:tcPr>
          <w:p>
            <w:pPr>
              <w:pStyle w:val="0"/>
              <w:spacing w:line="320" w:lineRule="exact"/>
              <w:jc w:val="center"/>
              <w:rPr>
                <w:rFonts w:hint="default" w:ascii="ＭＳ Ｐ明朝" w:hAnsi="ＭＳ Ｐ明朝" w:eastAsia="ＭＳ Ｐ明朝"/>
                <w:sz w:val="20"/>
              </w:rPr>
            </w:pPr>
            <w:r>
              <w:rPr>
                <w:rFonts w:hint="eastAsia" w:ascii="ＭＳ Ｐ明朝" w:hAnsi="ＭＳ Ｐ明朝" w:eastAsia="ＭＳ Ｐ明朝"/>
                <w:sz w:val="20"/>
              </w:rPr>
              <w:t>公</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19</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237</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364</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10.6</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中学校</w:t>
            </w:r>
          </w:p>
        </w:tc>
        <w:tc>
          <w:tcPr>
            <w:tcW w:w="406"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sz w:val="20"/>
              </w:rPr>
              <w:t>公</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8</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86</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179</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11.2</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義務教育学校</w:t>
            </w:r>
          </w:p>
        </w:tc>
        <w:tc>
          <w:tcPr>
            <w:tcW w:w="406"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公</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33</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58</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13.7</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高等学校</w:t>
            </w:r>
          </w:p>
        </w:tc>
        <w:tc>
          <w:tcPr>
            <w:tcW w:w="406"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sz w:val="20"/>
              </w:rPr>
              <w:t>公</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4</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59</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152</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14.7</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特別支援学校</w:t>
            </w:r>
          </w:p>
        </w:tc>
        <w:tc>
          <w:tcPr>
            <w:tcW w:w="406"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sz w:val="20"/>
              </w:rPr>
              <w:t>公</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43</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104</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2.0</w:t>
            </w:r>
          </w:p>
        </w:tc>
      </w:tr>
      <w:tr>
        <w:trPr>
          <w:trHeight w:val="340" w:hRule="atLeast"/>
        </w:trPr>
        <w:tc>
          <w:tcPr>
            <w:tcW w:w="1358"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専修学校</w:t>
            </w:r>
          </w:p>
        </w:tc>
        <w:tc>
          <w:tcPr>
            <w:tcW w:w="406" w:type="dxa"/>
            <w:vAlign w:val="center"/>
          </w:tcPr>
          <w:p>
            <w:pPr>
              <w:pStyle w:val="0"/>
              <w:spacing w:line="320" w:lineRule="exact"/>
              <w:jc w:val="center"/>
              <w:rPr>
                <w:rFonts w:hint="default" w:ascii="ＭＳ Ｐ明朝" w:hAnsi="ＭＳ Ｐ明朝" w:eastAsia="ＭＳ Ｐ明朝"/>
                <w:sz w:val="20"/>
              </w:rPr>
            </w:pPr>
            <w:r>
              <w:rPr>
                <w:rFonts w:hint="eastAsia" w:ascii="ＭＳ Ｐ明朝" w:hAnsi="ＭＳ Ｐ明朝" w:eastAsia="ＭＳ Ｐ明朝"/>
                <w:sz w:val="20"/>
              </w:rPr>
              <w:t>私</w:t>
            </w:r>
          </w:p>
        </w:tc>
        <w:tc>
          <w:tcPr>
            <w:tcW w:w="1173"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2</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w:t>
            </w:r>
          </w:p>
        </w:tc>
        <w:tc>
          <w:tcPr>
            <w:tcW w:w="1100" w:type="dxa"/>
            <w:vAlign w:val="center"/>
          </w:tcPr>
          <w:p>
            <w:pPr>
              <w:pStyle w:val="0"/>
              <w:spacing w:line="320" w:lineRule="exact"/>
              <w:jc w:val="right"/>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18</w:t>
            </w:r>
          </w:p>
        </w:tc>
        <w:tc>
          <w:tcPr>
            <w:tcW w:w="1100" w:type="dxa"/>
            <w:vAlign w:val="center"/>
          </w:tcPr>
          <w:p>
            <w:pPr>
              <w:pStyle w:val="0"/>
              <w:spacing w:line="320" w:lineRule="exact"/>
              <w:jc w:val="right"/>
              <w:rPr>
                <w:rFonts w:hint="eastAsia" w:ascii="ＭＳ Ｐゴシック" w:hAnsi="ＭＳ Ｐゴシック" w:eastAsia="ＭＳ Ｐゴシック"/>
                <w:color w:val="FF0000"/>
                <w:sz w:val="20"/>
              </w:rPr>
            </w:pPr>
            <w:r>
              <w:rPr>
                <w:rFonts w:hint="eastAsia" w:ascii="ＭＳ Ｐゴシック" w:hAnsi="ＭＳ Ｐゴシック" w:eastAsia="ＭＳ Ｐゴシック"/>
                <w:color w:val="auto"/>
                <w:sz w:val="20"/>
              </w:rPr>
              <w:t>14.4</w:t>
            </w:r>
          </w:p>
        </w:tc>
      </w:tr>
    </w:tbl>
    <w:p>
      <w:pPr>
        <w:pStyle w:val="0"/>
        <w:rPr>
          <w:rFonts w:hint="default" w:ascii="ＭＳ Ｐ明朝" w:hAnsi="ＭＳ Ｐ明朝" w:eastAsia="ＭＳ Ｐ明朝"/>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２　園児・児童・生徒数</w:t>
      </w:r>
    </w:p>
    <w:tbl>
      <w:tblPr>
        <w:tblStyle w:val="11"/>
        <w:tblW w:w="9271" w:type="dxa"/>
        <w:tblInd w:w="99" w:type="dxa"/>
        <w:tblLayout w:type="fixed"/>
        <w:tblCellMar>
          <w:left w:w="99" w:type="dxa"/>
          <w:right w:w="99" w:type="dxa"/>
        </w:tblCellMar>
        <w:tblLook w:firstRow="1" w:lastRow="0" w:firstColumn="1" w:lastColumn="0" w:noHBand="0" w:noVBand="1" w:val="04A0"/>
      </w:tblPr>
      <w:tblGrid>
        <w:gridCol w:w="1351"/>
        <w:gridCol w:w="1048"/>
        <w:gridCol w:w="901"/>
        <w:gridCol w:w="901"/>
        <w:gridCol w:w="1110"/>
        <w:gridCol w:w="900"/>
        <w:gridCol w:w="900"/>
        <w:gridCol w:w="1080"/>
        <w:gridCol w:w="1080"/>
      </w:tblGrid>
      <w:tr>
        <w:trPr>
          <w:trHeight w:val="340" w:hRule="atLeast"/>
        </w:trPr>
        <w:tc>
          <w:tcPr>
            <w:tcW w:w="135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区　　　　分</w:t>
            </w:r>
          </w:p>
        </w:tc>
        <w:tc>
          <w:tcPr>
            <w:tcW w:w="28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令和４年</w:t>
            </w:r>
          </w:p>
        </w:tc>
        <w:tc>
          <w:tcPr>
            <w:tcW w:w="291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kern w:val="0"/>
                <w:sz w:val="20"/>
              </w:rPr>
            </w:pPr>
            <w:r>
              <w:rPr>
                <w:rFonts w:hint="eastAsia" w:ascii="ＭＳ 明朝" w:hAnsi="ＭＳ 明朝"/>
                <w:kern w:val="0"/>
                <w:sz w:val="20"/>
              </w:rPr>
              <w:t>令和３年</w:t>
            </w:r>
          </w:p>
        </w:tc>
        <w:tc>
          <w:tcPr>
            <w:tcW w:w="1080" w:type="dxa"/>
            <w:vMerge w:val="restart"/>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増減数（人）</w:t>
            </w:r>
          </w:p>
        </w:tc>
        <w:tc>
          <w:tcPr>
            <w:tcW w:w="1080"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増減率（％）</w:t>
            </w:r>
          </w:p>
        </w:tc>
      </w:tr>
      <w:tr>
        <w:trPr>
          <w:trHeight w:val="340" w:hRule="atLeast"/>
        </w:trPr>
        <w:tc>
          <w:tcPr>
            <w:tcW w:w="135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line="280" w:lineRule="exact"/>
              <w:jc w:val="left"/>
              <w:rPr>
                <w:rFonts w:hint="default" w:ascii="ＭＳ Ｐ明朝" w:hAnsi="ＭＳ Ｐ明朝" w:eastAsia="ＭＳ Ｐ明朝"/>
                <w:kern w:val="0"/>
                <w:sz w:val="20"/>
              </w:rPr>
            </w:pP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合計（人）</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男（人）</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女（人）</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kern w:val="0"/>
                <w:sz w:val="20"/>
              </w:rPr>
            </w:pPr>
            <w:r>
              <w:rPr>
                <w:rFonts w:hint="eastAsia" w:ascii="ＭＳ 明朝" w:hAnsi="ＭＳ 明朝"/>
                <w:kern w:val="0"/>
                <w:sz w:val="20"/>
              </w:rPr>
              <w:t>合計（人）</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kern w:val="0"/>
                <w:sz w:val="20"/>
              </w:rPr>
            </w:pPr>
            <w:r>
              <w:rPr>
                <w:rFonts w:hint="eastAsia" w:ascii="ＭＳ 明朝" w:hAnsi="ＭＳ 明朝"/>
                <w:kern w:val="0"/>
                <w:sz w:val="20"/>
              </w:rPr>
              <w:t>男（人）</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kern w:val="0"/>
                <w:sz w:val="20"/>
              </w:rPr>
            </w:pPr>
            <w:r>
              <w:rPr>
                <w:rFonts w:hint="eastAsia" w:ascii="ＭＳ 明朝" w:hAnsi="ＭＳ 明朝"/>
                <w:kern w:val="0"/>
                <w:sz w:val="20"/>
              </w:rPr>
              <w:t>女（人）</w:t>
            </w:r>
          </w:p>
        </w:tc>
        <w:tc>
          <w:tcPr>
            <w:tcW w:w="1080" w:type="dxa"/>
            <w:vMerge w:val="continue"/>
            <w:tcBorders>
              <w:top w:val="single" w:color="auto" w:sz="4" w:space="0"/>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Ｐ明朝" w:hAnsi="ＭＳ Ｐ明朝" w:eastAsia="ＭＳ Ｐ明朝"/>
                <w:kern w:val="0"/>
                <w:sz w:val="20"/>
              </w:rPr>
            </w:pPr>
          </w:p>
        </w:tc>
        <w:tc>
          <w:tcPr>
            <w:tcW w:w="1080"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Ｐ明朝" w:hAnsi="ＭＳ Ｐ明朝" w:eastAsia="ＭＳ Ｐ明朝"/>
                <w:kern w:val="0"/>
                <w:sz w:val="20"/>
              </w:rPr>
            </w:pP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幼稚園</w:t>
            </w:r>
          </w:p>
        </w:tc>
        <w:tc>
          <w:tcPr>
            <w:tcW w:w="1048"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108</w:t>
            </w:r>
          </w:p>
        </w:tc>
        <w:tc>
          <w:tcPr>
            <w:tcW w:w="9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56</w:t>
            </w:r>
          </w:p>
        </w:tc>
        <w:tc>
          <w:tcPr>
            <w:tcW w:w="901"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52</w:t>
            </w:r>
          </w:p>
        </w:tc>
        <w:tc>
          <w:tcPr>
            <w:tcW w:w="111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111</w:t>
            </w:r>
          </w:p>
        </w:tc>
        <w:tc>
          <w:tcPr>
            <w:tcW w:w="9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54</w:t>
            </w:r>
          </w:p>
        </w:tc>
        <w:tc>
          <w:tcPr>
            <w:tcW w:w="90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57</w:t>
            </w:r>
          </w:p>
        </w:tc>
        <w:tc>
          <w:tcPr>
            <w:tcW w:w="108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3</w:t>
            </w:r>
          </w:p>
        </w:tc>
        <w:tc>
          <w:tcPr>
            <w:tcW w:w="108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2.7</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幼保連携型</w:t>
            </w:r>
          </w:p>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認定こども園</w:t>
            </w:r>
          </w:p>
        </w:tc>
        <w:tc>
          <w:tcPr>
            <w:tcW w:w="1048"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276</w:t>
            </w:r>
          </w:p>
        </w:tc>
        <w:tc>
          <w:tcPr>
            <w:tcW w:w="9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133</w:t>
            </w:r>
          </w:p>
        </w:tc>
        <w:tc>
          <w:tcPr>
            <w:tcW w:w="901"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143</w:t>
            </w:r>
          </w:p>
        </w:tc>
        <w:tc>
          <w:tcPr>
            <w:tcW w:w="111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285</w:t>
            </w:r>
          </w:p>
        </w:tc>
        <w:tc>
          <w:tcPr>
            <w:tcW w:w="90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133</w:t>
            </w:r>
          </w:p>
        </w:tc>
        <w:tc>
          <w:tcPr>
            <w:tcW w:w="90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152</w:t>
            </w:r>
          </w:p>
        </w:tc>
        <w:tc>
          <w:tcPr>
            <w:tcW w:w="108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9</w:t>
            </w:r>
          </w:p>
        </w:tc>
        <w:tc>
          <w:tcPr>
            <w:tcW w:w="1080"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3.2</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小学校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3,842</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2,022</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1,820</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3,924</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2,049</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1,875</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82</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2.1</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中学校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FF0000"/>
                <w:kern w:val="0"/>
                <w:sz w:val="20"/>
              </w:rPr>
            </w:pPr>
            <w:r>
              <w:rPr>
                <w:rFonts w:hint="eastAsia" w:ascii="ＭＳ Ｐゴシック" w:hAnsi="ＭＳ Ｐゴシック" w:eastAsia="ＭＳ Ｐゴシック"/>
                <w:color w:val="auto"/>
                <w:kern w:val="0"/>
                <w:sz w:val="20"/>
              </w:rPr>
              <w:t>1,996</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default" w:ascii="ＭＳ Ｐゴシック" w:hAnsi="ＭＳ Ｐゴシック" w:eastAsia="ＭＳ Ｐゴシック"/>
                <w:color w:val="auto"/>
                <w:kern w:val="0"/>
                <w:sz w:val="20"/>
              </w:rPr>
              <w:t>1,0</w:t>
            </w:r>
            <w:r>
              <w:rPr>
                <w:rFonts w:hint="eastAsia" w:ascii="ＭＳ Ｐゴシック" w:hAnsi="ＭＳ Ｐゴシック" w:eastAsia="ＭＳ Ｐゴシック"/>
                <w:color w:val="auto"/>
                <w:kern w:val="0"/>
                <w:sz w:val="20"/>
              </w:rPr>
              <w:t>03</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993</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2,064</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1,054</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1,010</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ind w:right="12"/>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68</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3.3</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sz w:val="20"/>
              </w:rPr>
              <w:t>義務教育学校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796</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393</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403</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794</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401</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393</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ind w:right="12"/>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2</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ind w:rightChars="0"/>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0.3</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高等学校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2,234</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default" w:ascii="ＭＳ Ｐゴシック" w:hAnsi="ＭＳ Ｐゴシック" w:eastAsia="ＭＳ Ｐゴシック"/>
                <w:color w:val="auto"/>
                <w:kern w:val="0"/>
                <w:sz w:val="20"/>
              </w:rPr>
              <w:t>1,2</w:t>
            </w:r>
            <w:r>
              <w:rPr>
                <w:rFonts w:hint="eastAsia" w:ascii="ＭＳ Ｐゴシック" w:hAnsi="ＭＳ Ｐゴシック" w:eastAsia="ＭＳ Ｐゴシック"/>
                <w:color w:val="auto"/>
                <w:kern w:val="0"/>
                <w:sz w:val="20"/>
              </w:rPr>
              <w:t>50</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984</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2,292</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1,271</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1,021</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58</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r>
              <w:rPr>
                <w:rFonts w:hint="eastAsia" w:ascii="ＭＳ Ｐ明朝" w:hAnsi="ＭＳ Ｐ明朝" w:eastAsia="ＭＳ Ｐ明朝"/>
                <w:color w:val="auto"/>
                <w:kern w:val="0"/>
                <w:sz w:val="20"/>
              </w:rPr>
              <w:t>2.5</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特別支援学校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210</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143</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67</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193</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130</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63</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17</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8.8</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専修学校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260</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22</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238</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187</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14</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173</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73</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39.0</w:t>
            </w:r>
          </w:p>
        </w:tc>
      </w:tr>
      <w:tr>
        <w:trPr>
          <w:trHeight w:val="340" w:hRule="atLeast"/>
        </w:trPr>
        <w:tc>
          <w:tcPr>
            <w:tcW w:w="135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各種学校</w:t>
            </w:r>
          </w:p>
        </w:tc>
        <w:tc>
          <w:tcPr>
            <w:tcW w:w="104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w:t>
            </w:r>
          </w:p>
        </w:tc>
        <w:tc>
          <w:tcPr>
            <w:tcW w:w="9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w:t>
            </w:r>
          </w:p>
        </w:tc>
        <w:tc>
          <w:tcPr>
            <w:tcW w:w="901"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ゴシック" w:hAnsi="ＭＳ Ｐゴシック" w:eastAsia="ＭＳ Ｐゴシック"/>
                <w:color w:val="auto"/>
                <w:kern w:val="0"/>
                <w:sz w:val="20"/>
              </w:rPr>
            </w:pPr>
            <w:r>
              <w:rPr>
                <w:rFonts w:hint="eastAsia" w:ascii="ＭＳ Ｐゴシック" w:hAnsi="ＭＳ Ｐゴシック" w:eastAsia="ＭＳ Ｐゴシック"/>
                <w:color w:val="auto"/>
                <w:kern w:val="0"/>
                <w:sz w:val="20"/>
              </w:rPr>
              <w:t>-</w:t>
            </w:r>
          </w:p>
        </w:tc>
        <w:tc>
          <w:tcPr>
            <w:tcW w:w="111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25</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6</w:t>
            </w:r>
          </w:p>
        </w:tc>
        <w:tc>
          <w:tcPr>
            <w:tcW w:w="90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eastAsia" w:ascii="ＭＳ Ｐ明朝" w:hAnsi="ＭＳ Ｐ明朝" w:eastAsia="ＭＳ Ｐ明朝"/>
                <w:color w:val="auto"/>
                <w:kern w:val="0"/>
                <w:sz w:val="20"/>
              </w:rPr>
            </w:pPr>
            <w:r>
              <w:rPr>
                <w:rFonts w:hint="eastAsia" w:ascii="ＭＳ Ｐ明朝" w:hAnsi="ＭＳ Ｐ明朝" w:eastAsia="ＭＳ Ｐ明朝"/>
                <w:color w:val="auto"/>
                <w:kern w:val="0"/>
                <w:sz w:val="20"/>
              </w:rPr>
              <w:t>19</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p>
        </w:tc>
        <w:tc>
          <w:tcPr>
            <w:tcW w:w="108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80" w:lineRule="exact"/>
              <w:jc w:val="right"/>
              <w:rPr>
                <w:rFonts w:hint="default" w:ascii="ＭＳ Ｐ明朝" w:hAnsi="ＭＳ Ｐ明朝" w:eastAsia="ＭＳ Ｐ明朝"/>
                <w:color w:val="auto"/>
                <w:kern w:val="0"/>
                <w:sz w:val="20"/>
              </w:rPr>
            </w:pPr>
            <w:r>
              <w:rPr>
                <w:rFonts w:hint="eastAsia" w:ascii="ＭＳ Ｐ明朝" w:hAnsi="ＭＳ Ｐ明朝" w:eastAsia="ＭＳ Ｐ明朝"/>
                <w:color w:val="auto"/>
                <w:kern w:val="0"/>
                <w:sz w:val="20"/>
              </w:rPr>
              <w:t>-</w:t>
            </w:r>
          </w:p>
        </w:tc>
      </w:tr>
    </w:tbl>
    <w:p>
      <w:pPr>
        <w:pStyle w:val="0"/>
        <w:spacing w:line="280" w:lineRule="exact"/>
        <w:rPr>
          <w:rFonts w:hint="default" w:asciiTheme="majorEastAsia" w:hAnsiTheme="majorEastAsia" w:eastAsiaTheme="majorEastAsia"/>
          <w:sz w:val="20"/>
        </w:rPr>
      </w:pPr>
    </w:p>
    <w:p>
      <w:pPr>
        <w:pStyle w:val="0"/>
        <w:spacing w:line="280" w:lineRule="exact"/>
        <w:rPr>
          <w:rFonts w:hint="eastAsia" w:ascii="ＭＳ ゴシック" w:hAnsi="ＭＳ ゴシック" w:eastAsia="ＭＳ ゴシック"/>
          <w:sz w:val="20"/>
        </w:rPr>
      </w:pPr>
      <w:r>
        <w:rPr>
          <w:rFonts w:hint="eastAsia" w:ascii="ＭＳ ゴシック" w:hAnsi="ＭＳ ゴシック" w:eastAsia="ＭＳ ゴシック"/>
          <w:sz w:val="20"/>
        </w:rPr>
        <w:t>図１　小中学校・義務教育学校・高等学校の児童・生徒数の過去</w:t>
      </w:r>
      <w:r>
        <w:rPr>
          <w:rFonts w:hint="eastAsia" w:ascii="ＭＳ ゴシック" w:hAnsi="ＭＳ ゴシック" w:eastAsia="ＭＳ ゴシック"/>
          <w:sz w:val="20"/>
        </w:rPr>
        <w:t>10</w:t>
      </w:r>
      <w:r>
        <w:rPr>
          <w:rFonts w:hint="eastAsia" w:ascii="ＭＳ ゴシック" w:hAnsi="ＭＳ ゴシック" w:eastAsia="ＭＳ ゴシック"/>
          <w:sz w:val="20"/>
        </w:rPr>
        <w:t>年間の推移</w:t>
      </w:r>
    </w:p>
    <w:p>
      <w:pPr>
        <w:pStyle w:val="0"/>
        <w:rPr>
          <w:rFonts w:hint="default"/>
        </w:rPr>
      </w:pPr>
      <w:r>
        <w:rPr>
          <w:rFonts w:hint="default"/>
        </w:rPr>
        <w:pict>
          <v:shapetype id="_x0000_t202" coordsize="21600,21600" o:spt="202" path="m,l,21600r21600,l21600,xe">
            <v:stroke joinstyle="miter"/>
            <v:path gradientshapeok="t" o:connecttype="rect"/>
          </v:shapetype>
          <v:shape id="テキスト ボックス 2" style="mso-position-vertical-relative:text;z-index:2;mso-wrap-distance-left:9pt;width:58.9pt;height:24.75pt;mso-position-horizontal-relative:text;position:absolute;margin-left:400.05pt;margin-top:2.35pt;mso-wrap-distance-bottom:0pt;mso-wrap-distance-right:9pt;mso-wrap-distance-top:0pt;v-text-anchor:top;" o:spid="_x0000_s1030" filled="f" stroked="f" o:spt="202" type="#_x0000_t202">
            <v:fill/>
            <v:stroke joinstyle="miter"/>
            <v:textbox style="layout-flow:horizontal;">
              <w:txbxContent>
                <w:p>
                  <w:pPr>
                    <w:pStyle w:val="0"/>
                    <w:rPr>
                      <w:rFonts w:hint="default"/>
                    </w:rPr>
                  </w:pPr>
                  <w:r>
                    <w:rPr>
                      <w:rFonts w:hint="eastAsia"/>
                    </w:rPr>
                    <w:t>単位：人</w:t>
                  </w:r>
                </w:p>
              </w:txbxContent>
            </v:textbox>
            <v:imagedata o:title=""/>
            <w10:wrap type="none" anchorx="text" anchory="text"/>
          </v:shape>
        </w:pict>
      </w:r>
      <w:r>
        <w:rPr>
          <w:rFonts w:hint="default" w:ascii="ＭＳ Ｐゴシック" w:hAnsi="ＭＳ Ｐゴシック" w:eastAsia="ＭＳ Ｐゴシック"/>
        </w:rPr>
        <w:drawing>
          <wp:inline distT="0" distB="0" distL="0" distR="0">
            <wp:extent cx="5873750" cy="2381885"/>
            <wp:effectExtent l="0" t="0" r="0" b="0"/>
            <wp:docPr id="1031" name="オブジェクト 0"/>
            <a:graphic xmlns:a="http://schemas.openxmlformats.org/drawingml/2006/main">
              <a:graphicData uri="http://schemas.openxmlformats.org/drawingml/2006/chart">
                <c:chart xmlns:c="http://schemas.openxmlformats.org/drawingml/2006/chart" r:id="rId6"/>
              </a:graphicData>
            </a:graphic>
          </wp:inline>
        </w:drawing>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３　中学校卒業者の進路状況（義務教育学校後の後期課程を含む）</w:t>
      </w:r>
    </w:p>
    <w:tbl>
      <w:tblPr>
        <w:tblStyle w:val="29"/>
        <w:tblW w:w="9212" w:type="dxa"/>
        <w:tblInd w:w="108" w:type="dxa"/>
        <w:tblLayout w:type="fixed"/>
        <w:tblLook w:firstRow="1" w:lastRow="0" w:firstColumn="1" w:lastColumn="0" w:noHBand="0" w:noVBand="1" w:val="04A0"/>
      </w:tblPr>
      <w:tblGrid>
        <w:gridCol w:w="1202"/>
        <w:gridCol w:w="800"/>
        <w:gridCol w:w="820"/>
        <w:gridCol w:w="790"/>
        <w:gridCol w:w="790"/>
        <w:gridCol w:w="820"/>
        <w:gridCol w:w="800"/>
        <w:gridCol w:w="790"/>
        <w:gridCol w:w="800"/>
        <w:gridCol w:w="820"/>
        <w:gridCol w:w="780"/>
      </w:tblGrid>
      <w:tr>
        <w:trPr>
          <w:trHeight w:val="1417" w:hRule="atLeast"/>
        </w:trPr>
        <w:tc>
          <w:tcPr>
            <w:tcW w:w="1202"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区分</w:t>
            </w:r>
          </w:p>
        </w:tc>
        <w:tc>
          <w:tcPr>
            <w:tcW w:w="800"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卒業者総数　</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820"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高校等　　　進学者　　</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790"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専修・各種学校</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790" w:type="dxa"/>
            <w:vAlign w:val="center"/>
          </w:tcPr>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公共職業能力開発施設等</w:t>
            </w:r>
            <w:r>
              <w:rPr>
                <w:rFonts w:hint="eastAsia" w:ascii="ＭＳ Ｐ明朝" w:hAnsi="ＭＳ Ｐ明朝" w:eastAsia="ＭＳ Ｐ明朝"/>
                <w:sz w:val="18"/>
              </w:rPr>
              <w:t>(</w:t>
            </w:r>
            <w:r>
              <w:rPr>
                <w:rFonts w:hint="eastAsia" w:ascii="ＭＳ Ｐ明朝" w:hAnsi="ＭＳ Ｐ明朝" w:eastAsia="ＭＳ Ｐ明朝"/>
                <w:sz w:val="18"/>
              </w:rPr>
              <w:t>人</w:t>
            </w:r>
            <w:r>
              <w:rPr>
                <w:rFonts w:hint="eastAsia" w:ascii="ＭＳ Ｐ明朝" w:hAnsi="ＭＳ Ｐ明朝" w:eastAsia="ＭＳ Ｐ明朝"/>
                <w:sz w:val="18"/>
              </w:rPr>
              <w:t>)</w:t>
            </w:r>
          </w:p>
        </w:tc>
        <w:tc>
          <w:tcPr>
            <w:tcW w:w="820"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就職者総数</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r>
              <w:rPr>
                <w:rFonts w:hint="eastAsia" w:ascii="ＭＳ Ｐ明朝" w:hAnsi="ＭＳ Ｐ明朝" w:eastAsia="ＭＳ Ｐ明朝"/>
                <w:sz w:val="20"/>
              </w:rPr>
              <w:t>※</w:t>
            </w:r>
          </w:p>
        </w:tc>
        <w:tc>
          <w:tcPr>
            <w:tcW w:w="800" w:type="dxa"/>
            <w:vAlign w:val="center"/>
          </w:tcPr>
          <w:p>
            <w:pPr>
              <w:pStyle w:val="0"/>
              <w:spacing w:line="240" w:lineRule="exact"/>
              <w:jc w:val="center"/>
              <w:rPr>
                <w:rFonts w:hint="default" w:ascii="ＭＳ Ｐ明朝" w:hAnsi="ＭＳ Ｐ明朝" w:eastAsia="ＭＳ Ｐ明朝"/>
                <w:color w:val="auto"/>
                <w:sz w:val="20"/>
              </w:rPr>
            </w:pPr>
            <w:r>
              <w:rPr>
                <w:rFonts w:hint="eastAsia" w:ascii="ＭＳ Ｐ明朝" w:hAnsi="ＭＳ Ｐ明朝" w:eastAsia="ＭＳ Ｐ明朝"/>
                <w:color w:val="auto"/>
                <w:sz w:val="20"/>
              </w:rPr>
              <w:t>臨時労働者等</w:t>
            </w: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人</w:t>
            </w: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w:t>
            </w:r>
          </w:p>
        </w:tc>
        <w:tc>
          <w:tcPr>
            <w:tcW w:w="790"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左記以外の者</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800" w:type="dxa"/>
            <w:vAlign w:val="center"/>
          </w:tcPr>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20"/>
              </w:rPr>
              <w:t>高校等　　　進学率</w:t>
            </w:r>
            <w:r>
              <w:rPr>
                <w:rFonts w:hint="eastAsia" w:ascii="ＭＳ Ｐ明朝" w:hAnsi="ＭＳ Ｐ明朝" w:eastAsia="ＭＳ Ｐ明朝"/>
                <w:sz w:val="18"/>
              </w:rPr>
              <w:t xml:space="preserve"> </w:t>
            </w:r>
            <w:r>
              <w:rPr>
                <w:rFonts w:hint="eastAsia" w:ascii="ＭＳ Ｐ明朝" w:hAnsi="ＭＳ Ｐ明朝" w:eastAsia="ＭＳ Ｐ明朝"/>
                <w:sz w:val="18"/>
              </w:rPr>
              <w:t>　　</w:t>
            </w:r>
            <w:r>
              <w:rPr>
                <w:rFonts w:hint="eastAsia" w:ascii="ＭＳ Ｐ明朝" w:hAnsi="ＭＳ Ｐ明朝" w:eastAsia="ＭＳ Ｐ明朝"/>
                <w:sz w:val="18"/>
              </w:rPr>
              <w:t>(</w:t>
            </w:r>
            <w:r>
              <w:rPr>
                <w:rFonts w:hint="eastAsia" w:ascii="ＭＳ Ｐ明朝" w:hAnsi="ＭＳ Ｐ明朝" w:eastAsia="ＭＳ Ｐ明朝"/>
                <w:sz w:val="18"/>
              </w:rPr>
              <w:t>％</w:t>
            </w:r>
            <w:r>
              <w:rPr>
                <w:rFonts w:hint="eastAsia" w:ascii="ＭＳ Ｐ明朝" w:hAnsi="ＭＳ Ｐ明朝" w:eastAsia="ＭＳ Ｐ明朝"/>
                <w:sz w:val="18"/>
              </w:rPr>
              <w:t>)</w:t>
            </w:r>
          </w:p>
        </w:tc>
        <w:tc>
          <w:tcPr>
            <w:tcW w:w="820" w:type="dxa"/>
            <w:vAlign w:val="top"/>
          </w:tcPr>
          <w:p>
            <w:pPr>
              <w:pStyle w:val="0"/>
              <w:spacing w:line="240" w:lineRule="exact"/>
              <w:jc w:val="center"/>
              <w:rPr>
                <w:rFonts w:hint="default" w:ascii="ＭＳ Ｐ明朝" w:hAnsi="ＭＳ Ｐ明朝" w:eastAsia="ＭＳ Ｐ明朝"/>
                <w:sz w:val="18"/>
              </w:rPr>
            </w:pPr>
          </w:p>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専修・</w:t>
            </w:r>
          </w:p>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18"/>
              </w:rPr>
              <w:t>各種学校進学率</w:t>
            </w:r>
            <w:r>
              <w:rPr>
                <w:rFonts w:hint="eastAsia" w:ascii="ＭＳ Ｐ明朝" w:hAnsi="ＭＳ Ｐ明朝" w:eastAsia="ＭＳ Ｐ明朝"/>
                <w:sz w:val="18"/>
              </w:rPr>
              <w:t>(</w:t>
            </w:r>
            <w:r>
              <w:rPr>
                <w:rFonts w:hint="eastAsia" w:ascii="ＭＳ Ｐ明朝" w:hAnsi="ＭＳ Ｐ明朝" w:eastAsia="ＭＳ Ｐ明朝"/>
                <w:sz w:val="18"/>
              </w:rPr>
              <w:t>％</w:t>
            </w:r>
            <w:r>
              <w:rPr>
                <w:rFonts w:hint="eastAsia" w:ascii="ＭＳ Ｐ明朝" w:hAnsi="ＭＳ Ｐ明朝" w:eastAsia="ＭＳ Ｐ明朝"/>
                <w:sz w:val="18"/>
              </w:rPr>
              <w:t>)</w:t>
            </w:r>
          </w:p>
        </w:tc>
        <w:tc>
          <w:tcPr>
            <w:tcW w:w="780" w:type="dxa"/>
            <w:vAlign w:val="center"/>
          </w:tcPr>
          <w:p>
            <w:pPr>
              <w:pStyle w:val="0"/>
              <w:spacing w:line="240" w:lineRule="exact"/>
              <w:jc w:val="center"/>
              <w:rPr>
                <w:rFonts w:hint="default" w:ascii="ＭＳ Ｐ明朝" w:hAnsi="ＭＳ Ｐ明朝" w:eastAsia="ＭＳ Ｐ明朝"/>
                <w:sz w:val="20"/>
              </w:rPr>
            </w:pPr>
          </w:p>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就職率</w:t>
            </w:r>
            <w:r>
              <w:rPr>
                <w:rFonts w:hint="eastAsia" w:ascii="ＭＳ Ｐ明朝" w:hAnsi="ＭＳ Ｐ明朝" w:eastAsia="ＭＳ Ｐ明朝"/>
                <w:sz w:val="20"/>
              </w:rPr>
              <w:t>(</w:t>
            </w:r>
            <w:r>
              <w:rPr>
                <w:rFonts w:hint="eastAsia" w:ascii="ＭＳ Ｐ明朝" w:hAnsi="ＭＳ Ｐ明朝" w:eastAsia="ＭＳ Ｐ明朝"/>
                <w:sz w:val="20"/>
              </w:rPr>
              <w:t>％</w:t>
            </w:r>
            <w:r>
              <w:rPr>
                <w:rFonts w:hint="eastAsia" w:ascii="ＭＳ Ｐ明朝" w:hAnsi="ＭＳ Ｐ明朝" w:eastAsia="ＭＳ Ｐ明朝"/>
                <w:sz w:val="20"/>
              </w:rPr>
              <w:t>)</w:t>
            </w:r>
            <w:r>
              <w:rPr>
                <w:rFonts w:hint="eastAsia" w:ascii="ＭＳ Ｐ明朝" w:hAnsi="ＭＳ Ｐ明朝" w:eastAsia="ＭＳ Ｐ明朝"/>
                <w:sz w:val="20"/>
              </w:rPr>
              <w:t>※</w:t>
            </w:r>
          </w:p>
          <w:p>
            <w:pPr>
              <w:pStyle w:val="0"/>
              <w:spacing w:line="240" w:lineRule="exact"/>
              <w:rPr>
                <w:rFonts w:hint="default" w:ascii="ＭＳ Ｐ明朝" w:hAnsi="ＭＳ Ｐ明朝" w:eastAsia="ＭＳ Ｐ明朝"/>
                <w:sz w:val="20"/>
              </w:rPr>
            </w:pPr>
          </w:p>
        </w:tc>
      </w:tr>
      <w:tr>
        <w:trPr>
          <w:trHeight w:val="363" w:hRule="atLeast"/>
        </w:trPr>
        <w:tc>
          <w:tcPr>
            <w:tcW w:w="1202" w:type="dxa"/>
            <w:vAlign w:val="center"/>
          </w:tcPr>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令和４年度</w:t>
            </w:r>
          </w:p>
        </w:tc>
        <w:tc>
          <w:tcPr>
            <w:tcW w:w="80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800</w:t>
            </w:r>
          </w:p>
        </w:tc>
        <w:tc>
          <w:tcPr>
            <w:tcW w:w="82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798</w:t>
            </w:r>
          </w:p>
        </w:tc>
        <w:tc>
          <w:tcPr>
            <w:tcW w:w="79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c>
          <w:tcPr>
            <w:tcW w:w="79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c>
          <w:tcPr>
            <w:tcW w:w="82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c>
          <w:tcPr>
            <w:tcW w:w="80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c>
          <w:tcPr>
            <w:tcW w:w="79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2</w:t>
            </w:r>
          </w:p>
        </w:tc>
        <w:tc>
          <w:tcPr>
            <w:tcW w:w="80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99.8</w:t>
            </w:r>
          </w:p>
        </w:tc>
        <w:tc>
          <w:tcPr>
            <w:tcW w:w="820" w:type="dxa"/>
            <w:vAlign w:val="top"/>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p>
        </w:tc>
        <w:tc>
          <w:tcPr>
            <w:tcW w:w="780"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w:t>
            </w:r>
          </w:p>
        </w:tc>
      </w:tr>
      <w:tr>
        <w:trPr>
          <w:trHeight w:val="363"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令和３年度</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801</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799</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99.8</w:t>
            </w:r>
          </w:p>
        </w:tc>
        <w:tc>
          <w:tcPr>
            <w:tcW w:w="820" w:type="dxa"/>
            <w:vAlign w:val="top"/>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8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r>
      <w:tr>
        <w:trPr>
          <w:trHeight w:val="363"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令和２年度</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814</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811</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99.6</w:t>
            </w:r>
          </w:p>
        </w:tc>
        <w:tc>
          <w:tcPr>
            <w:tcW w:w="820" w:type="dxa"/>
            <w:vAlign w:val="top"/>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8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r>
      <w:tr>
        <w:trPr>
          <w:trHeight w:val="363" w:hRule="atLeast"/>
        </w:trPr>
        <w:tc>
          <w:tcPr>
            <w:tcW w:w="1202" w:type="dxa"/>
            <w:vAlign w:val="center"/>
          </w:tcPr>
          <w:p>
            <w:pPr>
              <w:pStyle w:val="0"/>
              <w:ind w:left="-1" w:leftChars="-5" w:hanging="9" w:hangingChars="5"/>
              <w:jc w:val="left"/>
              <w:rPr>
                <w:rFonts w:hint="eastAsia" w:ascii="ＭＳ Ｐ明朝" w:hAnsi="ＭＳ Ｐ明朝" w:eastAsia="ＭＳ Ｐ明朝"/>
                <w:sz w:val="20"/>
              </w:rPr>
            </w:pPr>
            <w:r>
              <w:rPr>
                <w:rFonts w:hint="eastAsia" w:ascii="ＭＳ Ｐ明朝" w:hAnsi="ＭＳ Ｐ明朝" w:eastAsia="ＭＳ Ｐ明朝"/>
                <w:sz w:val="20"/>
              </w:rPr>
              <w:t>令和元年度</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841</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837</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99.5</w:t>
            </w:r>
          </w:p>
        </w:tc>
        <w:tc>
          <w:tcPr>
            <w:tcW w:w="820" w:type="dxa"/>
            <w:vAlign w:val="top"/>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8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r>
      <w:tr>
        <w:trPr>
          <w:trHeight w:val="363"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平成</w:t>
            </w:r>
            <w:r>
              <w:rPr>
                <w:rFonts w:hint="eastAsia" w:ascii="ＭＳ Ｐ明朝" w:hAnsi="ＭＳ Ｐ明朝" w:eastAsia="ＭＳ Ｐ明朝"/>
                <w:sz w:val="20"/>
              </w:rPr>
              <w:t>30</w:t>
            </w:r>
            <w:r>
              <w:rPr>
                <w:rFonts w:hint="eastAsia" w:ascii="ＭＳ Ｐ明朝" w:hAnsi="ＭＳ Ｐ明朝" w:eastAsia="ＭＳ Ｐ明朝"/>
                <w:sz w:val="20"/>
              </w:rPr>
              <w:t>年度</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840</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833</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82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9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7</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99.2</w:t>
            </w:r>
          </w:p>
        </w:tc>
        <w:tc>
          <w:tcPr>
            <w:tcW w:w="820" w:type="dxa"/>
            <w:vAlign w:val="top"/>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c>
          <w:tcPr>
            <w:tcW w:w="78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w:t>
            </w:r>
          </w:p>
        </w:tc>
      </w:tr>
    </w:tbl>
    <w:p>
      <w:pPr>
        <w:pStyle w:val="0"/>
        <w:ind w:right="-1035" w:rightChars="-544"/>
        <w:rPr>
          <w:rFonts w:hint="default"/>
          <w:sz w:val="16"/>
        </w:rPr>
      </w:pPr>
      <w:r>
        <w:rPr>
          <w:rFonts w:hint="eastAsia"/>
          <w:sz w:val="16"/>
        </w:rPr>
        <w:t>※</w:t>
      </w:r>
      <w:r>
        <w:rPr>
          <w:rFonts w:hint="eastAsia"/>
          <w:sz w:val="16"/>
        </w:rPr>
        <w:t xml:space="preserve"> 1</w:t>
      </w:r>
      <w:r>
        <w:rPr>
          <w:rFonts w:hint="eastAsia"/>
          <w:sz w:val="16"/>
        </w:rPr>
        <w:t>「就職者総数」には就職進学した者を含むため、卒業者総数と進路状況の内訳の合計は、必ずしも一致しない。</w:t>
      </w:r>
    </w:p>
    <w:p>
      <w:pPr>
        <w:pStyle w:val="0"/>
        <w:ind w:right="-1035" w:rightChars="-544"/>
        <w:rPr>
          <w:rFonts w:hint="default"/>
          <w:sz w:val="16"/>
        </w:rPr>
      </w:pPr>
      <w:r>
        <w:rPr>
          <w:rFonts w:hint="eastAsia"/>
          <w:sz w:val="16"/>
        </w:rPr>
        <w:t>※</w:t>
      </w:r>
      <w:r>
        <w:rPr>
          <w:rFonts w:hint="eastAsia"/>
          <w:sz w:val="16"/>
        </w:rPr>
        <w:t xml:space="preserve"> 2</w:t>
      </w:r>
      <w:r>
        <w:rPr>
          <w:rFonts w:hint="eastAsia"/>
          <w:sz w:val="16"/>
        </w:rPr>
        <w:t>「臨時労働者等」とは、雇用契約期間が一か月未満の臨時労働者、雇用契約期間が一か月以上一年未満又は短時間勤務の有期雇用労働者をいう。</w:t>
      </w:r>
    </w:p>
    <w:p>
      <w:pPr>
        <w:pStyle w:val="0"/>
        <w:ind w:right="-1035" w:rightChars="-544"/>
        <w:rPr>
          <w:rFonts w:hint="default"/>
          <w:sz w:val="16"/>
        </w:rPr>
      </w:pPr>
      <w:r>
        <w:rPr>
          <w:rFonts w:hint="eastAsia"/>
          <w:sz w:val="16"/>
        </w:rPr>
        <w:t>　　　なお、「就職率」算出の際の「就職者総数」には含めない。</w:t>
      </w:r>
    </w:p>
    <w:p>
      <w:pPr>
        <w:pStyle w:val="0"/>
        <w:rPr>
          <w:rFonts w:hint="default" w:ascii="ＭＳ Ｐ明朝" w:hAnsi="ＭＳ Ｐ明朝" w:eastAsia="ＭＳ Ｐ明朝"/>
          <w:sz w:val="20"/>
        </w:rPr>
      </w:pPr>
      <w:r>
        <w:rPr>
          <w:rFonts w:hint="eastAsia"/>
          <w:sz w:val="16"/>
        </w:rPr>
        <w:t>※</w:t>
      </w:r>
      <w:r>
        <w:rPr>
          <w:rFonts w:hint="eastAsia"/>
          <w:sz w:val="16"/>
        </w:rPr>
        <w:t xml:space="preserve"> 3</w:t>
      </w:r>
      <w:r>
        <w:rPr>
          <w:rFonts w:hint="eastAsia"/>
          <w:sz w:val="16"/>
        </w:rPr>
        <w:t>「就職率」とは、「卒業者総数」に占める「就職者総数」の割合をいう。</w:t>
      </w:r>
      <w:bookmarkStart w:id="0" w:name="_GoBack"/>
      <w:bookmarkEnd w:id="0"/>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r>
        <w:rPr>
          <w:rFonts w:hint="eastAsia" w:ascii="ＭＳ ゴシック" w:hAnsi="ＭＳ ゴシック" w:eastAsia="ＭＳ ゴシック"/>
          <w:sz w:val="20"/>
        </w:rPr>
        <w:t>４　高等学校卒業者の進路状況</w:t>
      </w:r>
    </w:p>
    <w:tbl>
      <w:tblPr>
        <w:tblStyle w:val="29"/>
        <w:tblW w:w="9215" w:type="dxa"/>
        <w:tblInd w:w="108" w:type="dxa"/>
        <w:tblLayout w:type="fixed"/>
        <w:tblLook w:firstRow="1" w:lastRow="0" w:firstColumn="1" w:lastColumn="0" w:noHBand="0" w:noVBand="1" w:val="04A0"/>
      </w:tblPr>
      <w:tblGrid>
        <w:gridCol w:w="1202"/>
        <w:gridCol w:w="801"/>
        <w:gridCol w:w="802"/>
        <w:gridCol w:w="801"/>
        <w:gridCol w:w="802"/>
        <w:gridCol w:w="800"/>
        <w:gridCol w:w="801"/>
        <w:gridCol w:w="802"/>
        <w:gridCol w:w="801"/>
        <w:gridCol w:w="802"/>
        <w:gridCol w:w="801"/>
      </w:tblGrid>
      <w:tr>
        <w:trPr>
          <w:trHeight w:val="1417" w:hRule="atLeast"/>
        </w:trPr>
        <w:tc>
          <w:tcPr>
            <w:tcW w:w="1202"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区分</w:t>
            </w:r>
          </w:p>
        </w:tc>
        <w:tc>
          <w:tcPr>
            <w:tcW w:w="801"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卒業者総数　</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802"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大学等進学者</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801"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専修・各種学校</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802" w:type="dxa"/>
            <w:vAlign w:val="center"/>
          </w:tcPr>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公共職業能力開発施設等</w:t>
            </w:r>
            <w:r>
              <w:rPr>
                <w:rFonts w:hint="eastAsia" w:ascii="ＭＳ Ｐ明朝" w:hAnsi="ＭＳ Ｐ明朝" w:eastAsia="ＭＳ Ｐ明朝"/>
                <w:sz w:val="18"/>
              </w:rPr>
              <w:t>(</w:t>
            </w:r>
            <w:r>
              <w:rPr>
                <w:rFonts w:hint="eastAsia" w:ascii="ＭＳ Ｐ明朝" w:hAnsi="ＭＳ Ｐ明朝" w:eastAsia="ＭＳ Ｐ明朝"/>
                <w:sz w:val="18"/>
              </w:rPr>
              <w:t>人</w:t>
            </w:r>
            <w:r>
              <w:rPr>
                <w:rFonts w:hint="eastAsia" w:ascii="ＭＳ Ｐ明朝" w:hAnsi="ＭＳ Ｐ明朝" w:eastAsia="ＭＳ Ｐ明朝"/>
                <w:sz w:val="18"/>
              </w:rPr>
              <w:t>)</w:t>
            </w:r>
          </w:p>
        </w:tc>
        <w:tc>
          <w:tcPr>
            <w:tcW w:w="800" w:type="dxa"/>
            <w:vAlign w:val="center"/>
          </w:tcPr>
          <w:p>
            <w:pPr>
              <w:pStyle w:val="0"/>
              <w:spacing w:line="240" w:lineRule="exact"/>
              <w:jc w:val="center"/>
              <w:rPr>
                <w:rFonts w:hint="default" w:ascii="ＭＳ Ｐ明朝" w:hAnsi="ＭＳ Ｐ明朝" w:eastAsia="ＭＳ Ｐ明朝"/>
                <w:color w:val="auto"/>
                <w:sz w:val="20"/>
              </w:rPr>
            </w:pPr>
            <w:r>
              <w:rPr>
                <w:rFonts w:hint="eastAsia" w:ascii="ＭＳ Ｐ明朝" w:hAnsi="ＭＳ Ｐ明朝" w:eastAsia="ＭＳ Ｐ明朝"/>
                <w:color w:val="auto"/>
                <w:sz w:val="20"/>
              </w:rPr>
              <w:t>就職者総数</w:t>
            </w: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人</w:t>
            </w: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w:t>
            </w:r>
          </w:p>
        </w:tc>
        <w:tc>
          <w:tcPr>
            <w:tcW w:w="801" w:type="dxa"/>
            <w:vAlign w:val="center"/>
          </w:tcPr>
          <w:p>
            <w:pPr>
              <w:pStyle w:val="0"/>
              <w:spacing w:line="240" w:lineRule="exact"/>
              <w:jc w:val="center"/>
              <w:rPr>
                <w:rFonts w:hint="default" w:ascii="ＭＳ Ｐ明朝" w:hAnsi="ＭＳ Ｐ明朝" w:eastAsia="ＭＳ Ｐ明朝"/>
                <w:color w:val="auto"/>
                <w:sz w:val="20"/>
              </w:rPr>
            </w:pPr>
            <w:r>
              <w:rPr>
                <w:rFonts w:hint="eastAsia" w:ascii="ＭＳ Ｐ明朝" w:hAnsi="ＭＳ Ｐ明朝" w:eastAsia="ＭＳ Ｐ明朝"/>
                <w:color w:val="auto"/>
                <w:sz w:val="20"/>
              </w:rPr>
              <w:t>臨時労働者等</w:t>
            </w: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人</w:t>
            </w: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w:t>
            </w:r>
          </w:p>
        </w:tc>
        <w:tc>
          <w:tcPr>
            <w:tcW w:w="802"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左記以外の者</w:t>
            </w:r>
            <w:r>
              <w:rPr>
                <w:rFonts w:hint="eastAsia" w:ascii="ＭＳ Ｐ明朝" w:hAnsi="ＭＳ Ｐ明朝" w:eastAsia="ＭＳ Ｐ明朝"/>
                <w:sz w:val="20"/>
              </w:rPr>
              <w:t>(</w:t>
            </w:r>
            <w:r>
              <w:rPr>
                <w:rFonts w:hint="eastAsia" w:ascii="ＭＳ Ｐ明朝" w:hAnsi="ＭＳ Ｐ明朝" w:eastAsia="ＭＳ Ｐ明朝"/>
                <w:sz w:val="20"/>
              </w:rPr>
              <w:t>人</w:t>
            </w:r>
            <w:r>
              <w:rPr>
                <w:rFonts w:hint="eastAsia" w:ascii="ＭＳ Ｐ明朝" w:hAnsi="ＭＳ Ｐ明朝" w:eastAsia="ＭＳ Ｐ明朝"/>
                <w:sz w:val="20"/>
              </w:rPr>
              <w:t>)</w:t>
            </w:r>
          </w:p>
        </w:tc>
        <w:tc>
          <w:tcPr>
            <w:tcW w:w="801"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大学等進学率</w:t>
            </w:r>
            <w:r>
              <w:rPr>
                <w:rFonts w:hint="eastAsia" w:ascii="ＭＳ Ｐ明朝" w:hAnsi="ＭＳ Ｐ明朝" w:eastAsia="ＭＳ Ｐ明朝"/>
                <w:sz w:val="20"/>
              </w:rPr>
              <w:t>(</w:t>
            </w:r>
            <w:r>
              <w:rPr>
                <w:rFonts w:hint="eastAsia" w:ascii="ＭＳ Ｐ明朝" w:hAnsi="ＭＳ Ｐ明朝" w:eastAsia="ＭＳ Ｐ明朝"/>
                <w:sz w:val="20"/>
              </w:rPr>
              <w:t>％</w:t>
            </w:r>
            <w:r>
              <w:rPr>
                <w:rFonts w:hint="eastAsia" w:ascii="ＭＳ Ｐ明朝" w:hAnsi="ＭＳ Ｐ明朝" w:eastAsia="ＭＳ Ｐ明朝"/>
                <w:sz w:val="20"/>
              </w:rPr>
              <w:t>)</w:t>
            </w:r>
          </w:p>
        </w:tc>
        <w:tc>
          <w:tcPr>
            <w:tcW w:w="802" w:type="dxa"/>
            <w:vAlign w:val="top"/>
          </w:tcPr>
          <w:p>
            <w:pPr>
              <w:pStyle w:val="0"/>
              <w:spacing w:line="240" w:lineRule="exact"/>
              <w:jc w:val="center"/>
              <w:rPr>
                <w:rFonts w:hint="default" w:ascii="ＭＳ Ｐ明朝" w:hAnsi="ＭＳ Ｐ明朝" w:eastAsia="ＭＳ Ｐ明朝"/>
                <w:sz w:val="18"/>
              </w:rPr>
            </w:pPr>
          </w:p>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専修・</w:t>
            </w:r>
          </w:p>
          <w:p>
            <w:pPr>
              <w:pStyle w:val="0"/>
              <w:spacing w:line="240" w:lineRule="exact"/>
              <w:jc w:val="center"/>
              <w:rPr>
                <w:rFonts w:hint="default" w:ascii="ＭＳ Ｐ明朝" w:hAnsi="ＭＳ Ｐ明朝" w:eastAsia="ＭＳ Ｐ明朝"/>
                <w:sz w:val="18"/>
              </w:rPr>
            </w:pPr>
            <w:r>
              <w:rPr>
                <w:rFonts w:hint="eastAsia" w:ascii="ＭＳ Ｐ明朝" w:hAnsi="ＭＳ Ｐ明朝" w:eastAsia="ＭＳ Ｐ明朝"/>
                <w:sz w:val="18"/>
              </w:rPr>
              <w:t>各種学校進学率</w:t>
            </w:r>
            <w:r>
              <w:rPr>
                <w:rFonts w:hint="eastAsia" w:ascii="ＭＳ Ｐ明朝" w:hAnsi="ＭＳ Ｐ明朝" w:eastAsia="ＭＳ Ｐ明朝"/>
                <w:sz w:val="18"/>
              </w:rPr>
              <w:t>(</w:t>
            </w:r>
            <w:r>
              <w:rPr>
                <w:rFonts w:hint="eastAsia" w:ascii="ＭＳ Ｐ明朝" w:hAnsi="ＭＳ Ｐ明朝" w:eastAsia="ＭＳ Ｐ明朝"/>
                <w:sz w:val="18"/>
              </w:rPr>
              <w:t>％</w:t>
            </w:r>
            <w:r>
              <w:rPr>
                <w:rFonts w:hint="eastAsia" w:ascii="ＭＳ Ｐ明朝" w:hAnsi="ＭＳ Ｐ明朝" w:eastAsia="ＭＳ Ｐ明朝"/>
                <w:sz w:val="18"/>
              </w:rPr>
              <w:t>)</w:t>
            </w:r>
          </w:p>
        </w:tc>
        <w:tc>
          <w:tcPr>
            <w:tcW w:w="801" w:type="dxa"/>
            <w:vAlign w:val="center"/>
          </w:tcPr>
          <w:p>
            <w:pPr>
              <w:pStyle w:val="0"/>
              <w:spacing w:line="240" w:lineRule="exact"/>
              <w:jc w:val="center"/>
              <w:rPr>
                <w:rFonts w:hint="default" w:ascii="ＭＳ Ｐ明朝" w:hAnsi="ＭＳ Ｐ明朝" w:eastAsia="ＭＳ Ｐ明朝"/>
                <w:sz w:val="20"/>
              </w:rPr>
            </w:pPr>
            <w:r>
              <w:rPr>
                <w:rFonts w:hint="eastAsia" w:ascii="ＭＳ Ｐ明朝" w:hAnsi="ＭＳ Ｐ明朝" w:eastAsia="ＭＳ Ｐ明朝"/>
                <w:sz w:val="20"/>
              </w:rPr>
              <w:t>就職率</w:t>
            </w:r>
            <w:r>
              <w:rPr>
                <w:rFonts w:hint="eastAsia" w:ascii="ＭＳ Ｐ明朝" w:hAnsi="ＭＳ Ｐ明朝" w:eastAsia="ＭＳ Ｐ明朝"/>
                <w:sz w:val="20"/>
              </w:rPr>
              <w:t>(</w:t>
            </w:r>
            <w:r>
              <w:rPr>
                <w:rFonts w:hint="eastAsia" w:ascii="ＭＳ Ｐ明朝" w:hAnsi="ＭＳ Ｐ明朝" w:eastAsia="ＭＳ Ｐ明朝"/>
                <w:sz w:val="20"/>
              </w:rPr>
              <w:t>％</w:t>
            </w:r>
            <w:r>
              <w:rPr>
                <w:rFonts w:hint="eastAsia" w:ascii="ＭＳ Ｐ明朝" w:hAnsi="ＭＳ Ｐ明朝" w:eastAsia="ＭＳ Ｐ明朝"/>
                <w:sz w:val="20"/>
              </w:rPr>
              <w:t>)</w:t>
            </w:r>
            <w:r>
              <w:rPr>
                <w:rFonts w:hint="eastAsia"/>
                <w:sz w:val="18"/>
              </w:rPr>
              <w:t>※</w:t>
            </w:r>
          </w:p>
        </w:tc>
      </w:tr>
      <w:tr>
        <w:trPr>
          <w:trHeight w:val="364" w:hRule="atLeast"/>
        </w:trPr>
        <w:tc>
          <w:tcPr>
            <w:tcW w:w="1202" w:type="dxa"/>
            <w:vAlign w:val="center"/>
          </w:tcPr>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令和４年度</w:t>
            </w:r>
          </w:p>
        </w:tc>
        <w:tc>
          <w:tcPr>
            <w:tcW w:w="801"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757</w:t>
            </w:r>
          </w:p>
        </w:tc>
        <w:tc>
          <w:tcPr>
            <w:tcW w:w="802"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394</w:t>
            </w:r>
          </w:p>
        </w:tc>
        <w:tc>
          <w:tcPr>
            <w:tcW w:w="801"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216</w:t>
            </w:r>
          </w:p>
        </w:tc>
        <w:tc>
          <w:tcPr>
            <w:tcW w:w="802"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8</w:t>
            </w:r>
          </w:p>
        </w:tc>
        <w:tc>
          <w:tcPr>
            <w:tcW w:w="80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117</w:t>
            </w:r>
          </w:p>
        </w:tc>
        <w:tc>
          <w:tcPr>
            <w:tcW w:w="801" w:type="dxa"/>
            <w:vAlign w:val="center"/>
          </w:tcPr>
          <w:p>
            <w:pPr>
              <w:pStyle w:val="0"/>
              <w:jc w:val="right"/>
              <w:rPr>
                <w:rFonts w:hint="eastAsia"/>
              </w:rPr>
            </w:pPr>
            <w:r>
              <w:rPr>
                <w:rFonts w:hint="eastAsia" w:ascii="ＭＳ Ｐゴシック" w:hAnsi="ＭＳ Ｐゴシック" w:eastAsia="ＭＳ Ｐゴシック"/>
                <w:sz w:val="20"/>
              </w:rPr>
              <w:t>1</w:t>
            </w:r>
          </w:p>
        </w:tc>
        <w:tc>
          <w:tcPr>
            <w:tcW w:w="802"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21</w:t>
            </w:r>
          </w:p>
        </w:tc>
        <w:tc>
          <w:tcPr>
            <w:tcW w:w="801"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52.0</w:t>
            </w:r>
          </w:p>
        </w:tc>
        <w:tc>
          <w:tcPr>
            <w:tcW w:w="802"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28.5</w:t>
            </w:r>
          </w:p>
        </w:tc>
        <w:tc>
          <w:tcPr>
            <w:tcW w:w="801"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15.5</w:t>
            </w:r>
          </w:p>
        </w:tc>
      </w:tr>
      <w:tr>
        <w:trPr>
          <w:trHeight w:val="364"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令和３年度</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756</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379</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236</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7</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110</w:t>
            </w:r>
          </w:p>
        </w:tc>
        <w:tc>
          <w:tcPr>
            <w:tcW w:w="801" w:type="dxa"/>
            <w:vAlign w:val="center"/>
          </w:tcPr>
          <w:p>
            <w:pPr>
              <w:pStyle w:val="0"/>
              <w:rPr>
                <w:rFonts w:hint="eastAsia"/>
              </w:rPr>
            </w:pPr>
            <w:r>
              <w:rPr>
                <w:rFonts w:hint="eastAsia"/>
              </w:rPr>
              <w:t>　　－</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24</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50.1</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31.2</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14.6</w:t>
            </w:r>
          </w:p>
        </w:tc>
      </w:tr>
      <w:tr>
        <w:trPr>
          <w:trHeight w:val="365"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令和２年度</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875</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482</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218</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152</w:t>
            </w:r>
          </w:p>
        </w:tc>
        <w:tc>
          <w:tcPr>
            <w:tcW w:w="801" w:type="dxa"/>
            <w:vAlign w:val="center"/>
          </w:tcPr>
          <w:p>
            <w:pPr>
              <w:pStyle w:val="0"/>
              <w:rPr>
                <w:rFonts w:hint="eastAsia"/>
              </w:rPr>
            </w:pPr>
            <w:r>
              <w:rPr>
                <w:rFonts w:hint="eastAsia"/>
              </w:rPr>
              <w:t>　　－</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19</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55.1</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24.9</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17.4</w:t>
            </w:r>
          </w:p>
        </w:tc>
      </w:tr>
      <w:tr>
        <w:trPr>
          <w:trHeight w:val="364"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令和元年度</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870</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419</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241</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10</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163</w:t>
            </w:r>
          </w:p>
        </w:tc>
        <w:tc>
          <w:tcPr>
            <w:tcW w:w="801" w:type="dxa"/>
            <w:vAlign w:val="center"/>
          </w:tcPr>
          <w:p>
            <w:pPr>
              <w:pStyle w:val="0"/>
              <w:rPr>
                <w:rFonts w:hint="eastAsia"/>
              </w:rPr>
            </w:pPr>
            <w:r>
              <w:rPr>
                <w:rFonts w:hint="eastAsia"/>
              </w:rPr>
              <w:t>　　…</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37</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48.2</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27.7</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18.7</w:t>
            </w:r>
          </w:p>
        </w:tc>
      </w:tr>
      <w:tr>
        <w:trPr>
          <w:trHeight w:val="364" w:hRule="atLeast"/>
        </w:trPr>
        <w:tc>
          <w:tcPr>
            <w:tcW w:w="1202" w:type="dxa"/>
            <w:vAlign w:val="center"/>
          </w:tcPr>
          <w:p>
            <w:pPr>
              <w:pStyle w:val="0"/>
              <w:jc w:val="left"/>
              <w:rPr>
                <w:rFonts w:hint="eastAsia" w:ascii="ＭＳ Ｐ明朝" w:hAnsi="ＭＳ Ｐ明朝" w:eastAsia="ＭＳ Ｐ明朝"/>
                <w:sz w:val="20"/>
              </w:rPr>
            </w:pPr>
            <w:r>
              <w:rPr>
                <w:rFonts w:hint="eastAsia" w:ascii="ＭＳ Ｐ明朝" w:hAnsi="ＭＳ Ｐ明朝" w:eastAsia="ＭＳ Ｐ明朝"/>
                <w:sz w:val="20"/>
              </w:rPr>
              <w:t>平成</w:t>
            </w:r>
            <w:r>
              <w:rPr>
                <w:rFonts w:hint="eastAsia" w:ascii="ＭＳ Ｐ明朝" w:hAnsi="ＭＳ Ｐ明朝" w:eastAsia="ＭＳ Ｐ明朝"/>
                <w:sz w:val="20"/>
              </w:rPr>
              <w:t>30</w:t>
            </w:r>
            <w:r>
              <w:rPr>
                <w:rFonts w:hint="eastAsia" w:ascii="ＭＳ Ｐ明朝" w:hAnsi="ＭＳ Ｐ明朝" w:eastAsia="ＭＳ Ｐ明朝"/>
                <w:sz w:val="20"/>
              </w:rPr>
              <w:t>年度</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896</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442</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240</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6</w:t>
            </w:r>
          </w:p>
        </w:tc>
        <w:tc>
          <w:tcPr>
            <w:tcW w:w="800"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165</w:t>
            </w:r>
          </w:p>
        </w:tc>
        <w:tc>
          <w:tcPr>
            <w:tcW w:w="801" w:type="dxa"/>
            <w:vAlign w:val="center"/>
          </w:tcPr>
          <w:p>
            <w:pPr>
              <w:pStyle w:val="0"/>
              <w:rPr>
                <w:rFonts w:hint="eastAsia"/>
              </w:rPr>
            </w:pPr>
            <w:r>
              <w:rPr>
                <w:rFonts w:hint="eastAsia"/>
              </w:rPr>
              <w:t>　　…</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43</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49.3</w:t>
            </w:r>
          </w:p>
        </w:tc>
        <w:tc>
          <w:tcPr>
            <w:tcW w:w="802"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26.8</w:t>
            </w:r>
          </w:p>
        </w:tc>
        <w:tc>
          <w:tcPr>
            <w:tcW w:w="801" w:type="dxa"/>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18.4</w:t>
            </w:r>
          </w:p>
        </w:tc>
      </w:tr>
    </w:tbl>
    <w:p>
      <w:pPr>
        <w:pStyle w:val="0"/>
        <w:ind w:right="-1035" w:rightChars="-544"/>
        <w:rPr>
          <w:rFonts w:hint="default"/>
          <w:sz w:val="16"/>
        </w:rPr>
      </w:pPr>
      <w:r>
        <w:rPr>
          <w:rFonts w:hint="eastAsia"/>
          <w:sz w:val="16"/>
        </w:rPr>
        <w:t>※</w:t>
      </w:r>
      <w:r>
        <w:rPr>
          <w:rFonts w:hint="eastAsia"/>
          <w:sz w:val="16"/>
        </w:rPr>
        <w:t xml:space="preserve"> 1</w:t>
      </w:r>
      <w:r>
        <w:rPr>
          <w:rFonts w:hint="eastAsia"/>
          <w:sz w:val="16"/>
        </w:rPr>
        <w:t>「就職者総数」には就職進学した者を含むため、卒業者総数と進路状況の内訳の合計は、必ずしも一致しない。</w:t>
      </w:r>
    </w:p>
    <w:p>
      <w:pPr>
        <w:pStyle w:val="0"/>
        <w:ind w:right="-1035" w:rightChars="-544"/>
        <w:rPr>
          <w:rFonts w:hint="default"/>
          <w:sz w:val="16"/>
        </w:rPr>
      </w:pPr>
      <w:r>
        <w:rPr>
          <w:rFonts w:hint="eastAsia"/>
          <w:sz w:val="16"/>
        </w:rPr>
        <w:t>※</w:t>
      </w:r>
      <w:r>
        <w:rPr>
          <w:rFonts w:hint="eastAsia"/>
          <w:sz w:val="16"/>
        </w:rPr>
        <w:t xml:space="preserve"> 2</w:t>
      </w:r>
      <w:r>
        <w:rPr>
          <w:rFonts w:hint="eastAsia"/>
          <w:sz w:val="16"/>
        </w:rPr>
        <w:t>「臨時労働者等」とは、雇用契約期間が一か月未満の臨時労働者、雇用契約期間が一か月以上一年未満又は短時間勤務の有期雇用労働者をいう。</w:t>
      </w:r>
    </w:p>
    <w:p>
      <w:pPr>
        <w:pStyle w:val="0"/>
        <w:ind w:right="-1035" w:rightChars="-544"/>
        <w:rPr>
          <w:rFonts w:hint="default"/>
          <w:sz w:val="16"/>
        </w:rPr>
      </w:pPr>
      <w:r>
        <w:rPr>
          <w:rFonts w:hint="eastAsia"/>
          <w:sz w:val="16"/>
        </w:rPr>
        <w:t>　　令和２年度調査において調査項目の変更があったため、令和元年度調査以前の数値はなく、「…」で表記。</w:t>
      </w:r>
    </w:p>
    <w:p>
      <w:pPr>
        <w:pStyle w:val="0"/>
        <w:ind w:right="-1035" w:rightChars="-544"/>
        <w:rPr>
          <w:rFonts w:hint="default"/>
          <w:sz w:val="16"/>
        </w:rPr>
      </w:pPr>
      <w:r>
        <w:rPr>
          <w:rFonts w:hint="eastAsia"/>
          <w:sz w:val="16"/>
        </w:rPr>
        <w:t>　　なお、「就職率」算出の際の「就職者総数」には含めない。</w:t>
      </w:r>
    </w:p>
    <w:p>
      <w:pPr>
        <w:pStyle w:val="0"/>
        <w:ind w:right="-1035" w:rightChars="-544"/>
        <w:rPr>
          <w:rFonts w:hint="default"/>
          <w:sz w:val="16"/>
        </w:rPr>
      </w:pPr>
      <w:r>
        <w:rPr>
          <w:rFonts w:hint="eastAsia"/>
          <w:sz w:val="16"/>
        </w:rPr>
        <w:t>※</w:t>
      </w:r>
      <w:r>
        <w:rPr>
          <w:rFonts w:hint="eastAsia"/>
          <w:sz w:val="16"/>
        </w:rPr>
        <w:t xml:space="preserve"> 3</w:t>
      </w:r>
      <w:r>
        <w:rPr>
          <w:rFonts w:hint="eastAsia"/>
          <w:sz w:val="16"/>
        </w:rPr>
        <w:t>「就職率」とは、「卒業者総数」に占める「就職者総数」の割合をいう。</w:t>
      </w:r>
    </w:p>
    <w:p>
      <w:pPr>
        <w:pStyle w:val="0"/>
        <w:ind w:right="-1035" w:rightChars="-544"/>
        <w:rPr>
          <w:rFonts w:hint="default"/>
          <w:sz w:val="16"/>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図</w:t>
      </w:r>
      <w:r>
        <w:rPr>
          <w:rFonts w:hint="eastAsia" w:ascii="ＭＳ ゴシック" w:hAnsi="ＭＳ ゴシック" w:eastAsia="ＭＳ ゴシック"/>
          <w:sz w:val="20"/>
        </w:rPr>
        <w:t>2</w:t>
      </w:r>
      <w:r>
        <w:rPr>
          <w:rFonts w:hint="eastAsia" w:ascii="ＭＳ ゴシック" w:hAnsi="ＭＳ ゴシック" w:eastAsia="ＭＳ ゴシック"/>
          <w:sz w:val="20"/>
        </w:rPr>
        <w:t>　大学等進学率、専修・各種学校進学率、就職率の過去</w:t>
      </w:r>
      <w:r>
        <w:rPr>
          <w:rFonts w:hint="eastAsia" w:ascii="ＭＳ ゴシック" w:hAnsi="ＭＳ ゴシック" w:eastAsia="ＭＳ ゴシック"/>
          <w:sz w:val="20"/>
        </w:rPr>
        <w:t>10</w:t>
      </w:r>
      <w:r>
        <w:rPr>
          <w:rFonts w:hint="eastAsia" w:ascii="ＭＳ ゴシック" w:hAnsi="ＭＳ ゴシック" w:eastAsia="ＭＳ ゴシック"/>
          <w:sz w:val="20"/>
        </w:rPr>
        <w:t>年間の推移</w:t>
      </w:r>
    </w:p>
    <w:p>
      <w:pPr>
        <w:pStyle w:val="0"/>
        <w:rPr>
          <w:rFonts w:hint="default" w:ascii="ＭＳ Ｐ明朝" w:hAnsi="ＭＳ Ｐ明朝" w:eastAsia="ＭＳ Ｐ明朝"/>
          <w:sz w:val="20"/>
        </w:rPr>
      </w:pPr>
      <w:r>
        <w:rPr>
          <w:rFonts w:hint="eastAsia"/>
        </w:rPr>
        <w:pict>
          <v:shapetype id="_x0000_t202" coordsize="21600,21600" o:spt="202" path="m,l,21600r21600,l21600,xe">
            <v:stroke joinstyle="miter"/>
            <v:path gradientshapeok="t" o:connecttype="rect"/>
          </v:shapetype>
          <v:shape id="_x0000_s1032" style="mso-position-vertical-relative:text;z-index:3;mso-wrap-distance-left:9pt;width:58.9pt;height:24.75pt;mso-position-horizontal-relative:text;position:absolute;margin-left:404.85pt;margin-top:2.6pt;mso-wrap-distance-bottom:0pt;mso-wrap-distance-right:9pt;mso-wrap-distance-top:0pt;v-text-anchor:top;" o:allowincell="t" filled="f" stroked="f" o:spt="202" type="#_x0000_t202">
            <v:fill/>
            <v:stroke joinstyle="miter"/>
            <v:textbox style="layout-flow:horizontal;">
              <w:txbxContent>
                <w:p>
                  <w:pPr>
                    <w:pStyle w:val="0"/>
                    <w:rPr>
                      <w:rFonts w:hint="default"/>
                    </w:rPr>
                  </w:pPr>
                  <w:r>
                    <w:rPr>
                      <w:rFonts w:hint="eastAsia"/>
                    </w:rPr>
                    <w:t>単位：％</w:t>
                  </w:r>
                </w:p>
                <w:p>
                  <w:pPr>
                    <w:pStyle w:val="0"/>
                    <w:rPr>
                      <w:rFonts w:hint="default"/>
                    </w:rPr>
                  </w:pPr>
                </w:p>
              </w:txbxContent>
            </v:textbox>
            <v:imagedata o:title=""/>
            <w10:wrap type="none" anchorx="text" anchory="text"/>
          </v:shape>
        </w:pict>
      </w:r>
      <w:r>
        <w:rPr>
          <w:rFonts w:hint="default" w:ascii="ＭＳ Ｐ明朝" w:hAnsi="ＭＳ Ｐ明朝" w:eastAsia="ＭＳ Ｐ明朝"/>
          <w:sz w:val="20"/>
        </w:rPr>
        <w:drawing>
          <wp:inline distT="0" distB="0" distL="0" distR="0">
            <wp:extent cx="5890895" cy="2181225"/>
            <wp:effectExtent l="0" t="0" r="0" b="0"/>
            <wp:docPr id="1033" name="オブジェクト 0"/>
            <a:graphic xmlns:a="http://schemas.openxmlformats.org/drawingml/2006/main">
              <a:graphicData uri="http://schemas.openxmlformats.org/drawingml/2006/chart">
                <c:chart xmlns:c="http://schemas.openxmlformats.org/drawingml/2006/chart" r:id="rId7"/>
              </a:graphicData>
            </a:graphic>
          </wp:inline>
        </w:drawing>
      </w:r>
    </w:p>
    <w:sectPr>
      <w:pgSz w:w="11906" w:h="16838"/>
      <w:pgMar w:top="955" w:right="1644" w:bottom="432" w:left="1701" w:header="851" w:footer="499" w:gutter="0"/>
      <w:cols w:space="720"/>
      <w:titlePg w:val="1"/>
      <w:textDirection w:val="lrTb"/>
      <w:docGrid w:type="linesAndChars" w:linePitch="360" w:charSpace="-40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B1E97F8"/>
    <w:lvl w:ilvl="0" w:tplc="494671B0">
      <w:start w:val="1"/>
      <w:numFmt w:val="decimal"/>
      <w:lvlText w:val="(%1)"/>
      <w:lvlJc w:val="left"/>
      <w:pPr>
        <w:ind w:left="630" w:hanging="45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8" type="connector" idref="#_x0000_s1028">
          <o:proxy start="" idref="#_x0000_s0" connectloc="-1"/>
          <o:proxy end="" idref="#_x0000_s0" connectloc="-1"/>
        </o:r>
        <o:r id="V:Rule12" type="connector" idref="#_x0000_s1027">
          <o:proxy start="" idref="#_x0000_s0" connectloc="-1"/>
          <o:proxy end="" idref="#_x0000_s0" connectloc="-1"/>
        </o:r>
        <o:r id="V:Rule16"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chart" Target="charts/chart1.xml" /><Relationship Id="rId7" Type="http://schemas.openxmlformats.org/officeDocument/2006/relationships/chart" Target="charts/chart2.xml" /><Relationship Id="rId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Microsoft_Excel_______.xlsx" /></Relationships>
</file>

<file path=word/charts/_rels/chart2.xml.rels><?xml version="1.0" encoding="UTF-8"?><Relationships xmlns="http://schemas.openxmlformats.org/package/2006/relationships"><Relationship Id="rId1" Type="http://schemas.openxmlformats.org/officeDocument/2006/relationships/package" Target="../embeddings/Microsoft_Excel_______1.xlsx"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18918918918918e-002"/>
          <c:y val="0.18207282913165265"/>
          <c:w val="0.89729729729729735"/>
          <c:h val="0.67226890756302526"/>
        </c:manualLayout>
      </c:layout>
      <c:lineChart>
        <c:grouping val="standard"/>
        <c:varyColors val="0"/>
        <c:ser>
          <c:idx val="0"/>
          <c:order val="0"/>
          <c:tx>
            <c:strRef>
              <c:f>=Sheet1!$B$1</c:f>
              <c:strCache>
                <c:ptCount val="1"/>
                <c:pt idx="0">
                  <c:v>小学校</c:v>
                </c:pt>
              </c:strCache>
            </c:strRef>
          </c:tx>
          <c:spPr>
            <a:ln>
              <a:prstDash val="sysDot"/>
            </a:ln>
          </c:spPr>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Lbls>
            <c:dLbl>
              <c:idx val="0"/>
              <c:layout>
                <c:manualLayout>
                  <c:x val="-4.4356841881251351e-002"/>
                  <c:y val="-4.7605712685522265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1"/>
              <c:layout>
                <c:manualLayout>
                  <c:x val="-5.0843328367737819e-002"/>
                  <c:y val="-4.7605712685522265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2"/>
              <c:layout>
                <c:manualLayout>
                  <c:x val="-4.435684188125133e-002"/>
                  <c:y val="-5.8807056846821616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3"/>
              <c:layout>
                <c:manualLayout>
                  <c:x val="-4.4356841881251406e-002"/>
                  <c:y val="-5.3206384766171941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4"/>
              <c:layout>
                <c:manualLayout>
                  <c:x val="-4.435684188125133e-002"/>
                  <c:y val="-5.8807056846821616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5"/>
              <c:layout>
                <c:manualLayout>
                  <c:x val="-4.4356841881251406e-002"/>
                  <c:y val="-4.7605712685522286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6"/>
              <c:layout>
                <c:manualLayout>
                  <c:x val="-4.435684188125133e-002"/>
                  <c:y val="-5.3206384766171969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7"/>
              <c:layout>
                <c:manualLayout>
                  <c:x val="-4.2194679719089329e-002"/>
                  <c:y val="-4.7605712685522238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8"/>
              <c:layout>
                <c:manualLayout>
                  <c:x val="-4.435684188125133e-002"/>
                  <c:y val="-6.4407728927471319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9"/>
              <c:layout>
                <c:manualLayout>
                  <c:x val="-3.8357437752713344e-002"/>
                  <c:y val="-5.8807056846821616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spPr>
              <a:noFill/>
              <a:ln>
                <a:noFill/>
              </a:ln>
              <a:effectLst/>
            </c:spPr>
            <c:txPr>
              <a:bodyPr rot="0" horzOverflow="overflow" anchor="ctr" anchorCtr="1"/>
              <a:lstStyle/>
              <a:p>
                <a:pPr algn="ctr" rtl="0">
                  <a:defRPr sz="1000">
                    <a:solidFill>
                      <a:schemeClr val="tx1"/>
                    </a:solidFill>
                    <a:latin typeface="ＭＳ Ｐゴシック"/>
                    <a:ea typeface="ＭＳ Ｐゴシック"/>
                  </a:defRPr>
                </a:pPr>
                <a:endParaRPr lang="ja-JP" altLang="en-US"/>
              </a:p>
            </c:txPr>
            <c:dLblPos val="t"/>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H30年度</c:v>
                </c:pt>
                <c:pt idx="6">
                  <c:v>R1年度</c:v>
                </c:pt>
                <c:pt idx="7">
                  <c:v>R2年度</c:v>
                </c:pt>
                <c:pt idx="8">
                  <c:v>R3年度</c:v>
                </c:pt>
                <c:pt idx="9">
                  <c:v>R4年度</c:v>
                </c:pt>
              </c:strCache>
            </c:strRef>
          </c:cat>
          <c:val>
            <c:numRef>
              <c:f>=Sheet1!$B$2:$B$11</c:f>
              <c:numCache>
                <c:formatCode>#,##0;[Red]\-#,##0</c:formatCode>
                <c:ptCount val="10"/>
                <c:pt idx="0">
                  <c:v>5242</c:v>
                </c:pt>
                <c:pt idx="1">
                  <c:v>5061</c:v>
                </c:pt>
                <c:pt idx="2">
                  <c:v>4967</c:v>
                </c:pt>
                <c:pt idx="3">
                  <c:v>4875</c:v>
                </c:pt>
                <c:pt idx="4">
                  <c:v>4815</c:v>
                </c:pt>
                <c:pt idx="5">
                  <c:v>4185</c:v>
                </c:pt>
                <c:pt idx="6">
                  <c:v>4135</c:v>
                </c:pt>
                <c:pt idx="7">
                  <c:v>4064</c:v>
                </c:pt>
                <c:pt idx="8">
                  <c:v>3924</c:v>
                </c:pt>
                <c:pt idx="9">
                  <c:v>3842</c:v>
                </c:pt>
              </c:numCache>
            </c:numRef>
          </c:val>
          <c:smooth val="0"/>
        </c:ser>
        <c:ser>
          <c:idx val="1"/>
          <c:order val="1"/>
          <c:tx>
            <c:strRef>
              <c:f>=Sheet1!$C$1</c:f>
              <c:strCache>
                <c:ptCount val="1"/>
                <c:pt idx="0">
                  <c:v>中学校</c:v>
                </c:pt>
              </c:strCache>
            </c:strRef>
          </c:tx>
          <c:dPt>
            <c:idx val="5"/>
            <c:invertIfNegative val="0"/>
            <c:bubble3D val="0"/>
          </c:dPt>
          <c:dPt>
            <c:idx val="8"/>
            <c:invertIfNegative val="0"/>
            <c:bubble3D val="0"/>
          </c:dPt>
          <c:dPt>
            <c:idx val="9"/>
            <c:invertIfNegative val="0"/>
            <c:bubble3D val="0"/>
          </c:dPt>
          <c:dLbls>
            <c:dLbl>
              <c:idx val="5"/>
              <c:layout>
                <c:manualLayout>
                  <c:x val="-5.0951947222813362e-002"/>
                  <c:y val="8.2082974922252361e-002"/>
                </c:manualLayout>
              </c:layout>
              <c:spPr>
                <a:noFill/>
                <a:ln>
                  <a:noFill/>
                </a:ln>
                <a:effectLst/>
              </c:spPr>
              <c:txPr>
                <a:bodyPr>
                  <a:no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extLst>
                <c:ext xmlns:c15="http://schemas.microsoft.com/office/drawing/2012/chart" uri="{CE6537A1-D6FC-4f65-9D91-7224C49458BB}">
                  <c15:layout>
                    <c:manualLayout>
                      <c:w val="7.675675675675675e-002"/>
                      <c:h val="8.9635854341736695e-002"/>
                    </c:manualLayout>
                  </c15:layout>
                </c:ext>
              </c:extLst>
            </c:dLbl>
            <c:dLbl>
              <c:idx val="8"/>
              <c:layout>
                <c:manualLayout>
                  <c:x val="-4.435684188125133e-002"/>
                  <c:y val="5.3206384766171941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9"/>
              <c:layout>
                <c:manualLayout>
                  <c:x val="-3.8357437752713344e-002"/>
                  <c:y val="5.8807056846821616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spPr>
              <a:noFill/>
              <a:ln>
                <a:noFill/>
              </a:ln>
              <a:effectLst/>
            </c:spPr>
            <c:txPr>
              <a:bodyPr rot="0" horzOverflow="overflow" anchor="ctr" anchorCtr="1"/>
              <a:lstStyle/>
              <a:p>
                <a:pPr algn="ctr" rtl="0">
                  <a:defRPr sz="1000">
                    <a:solidFill>
                      <a:schemeClr val="tx1"/>
                    </a:solidFill>
                    <a:latin typeface="ＭＳ Ｐゴシック"/>
                    <a:ea typeface="ＭＳ Ｐゴシック"/>
                  </a:defRPr>
                </a:pPr>
                <a:endParaRPr lang="ja-JP" altLang="en-US"/>
              </a:p>
            </c:txPr>
            <c:dLblPos val="b"/>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H30年度</c:v>
                </c:pt>
                <c:pt idx="6">
                  <c:v>R1年度</c:v>
                </c:pt>
                <c:pt idx="7">
                  <c:v>R2年度</c:v>
                </c:pt>
                <c:pt idx="8">
                  <c:v>R3年度</c:v>
                </c:pt>
                <c:pt idx="9">
                  <c:v>R4年度</c:v>
                </c:pt>
              </c:strCache>
            </c:strRef>
          </c:cat>
          <c:val>
            <c:numRef>
              <c:f>=Sheet1!$C$2:$C$11</c:f>
              <c:numCache>
                <c:formatCode>#,##0;[Red]\-#,##0</c:formatCode>
                <c:ptCount val="10"/>
                <c:pt idx="0">
                  <c:v>2864</c:v>
                </c:pt>
                <c:pt idx="1">
                  <c:v>2825</c:v>
                </c:pt>
                <c:pt idx="2">
                  <c:v>2664</c:v>
                </c:pt>
                <c:pt idx="3">
                  <c:v>2611</c:v>
                </c:pt>
                <c:pt idx="4">
                  <c:v>2499</c:v>
                </c:pt>
                <c:pt idx="5">
                  <c:v>2188</c:v>
                </c:pt>
                <c:pt idx="6">
                  <c:v>2159</c:v>
                </c:pt>
                <c:pt idx="7">
                  <c:v>2066</c:v>
                </c:pt>
                <c:pt idx="8">
                  <c:v>2064</c:v>
                </c:pt>
                <c:pt idx="9">
                  <c:v>1996</c:v>
                </c:pt>
              </c:numCache>
            </c:numRef>
          </c:val>
          <c:smooth val="0"/>
        </c:ser>
        <c:ser>
          <c:idx val="2"/>
          <c:order val="2"/>
          <c:tx>
            <c:strRef>
              <c:f>=Sheet1!$D$1</c:f>
              <c:strCache>
                <c:ptCount val="1"/>
                <c:pt idx="0">
                  <c:v>義務教育学校</c:v>
                </c:pt>
              </c:strCache>
            </c:strRef>
          </c:tx>
          <c:spPr>
            <a:ln cap="flat" cmpd="sng">
              <a:prstDash val="sysDash"/>
              <a:miter lim="800000"/>
            </a:ln>
          </c:spPr>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Lbls>
            <c:dLbl>
              <c:idx val="5"/>
              <c:layout>
                <c:manualLayout>
                  <c:x val="-3.381298148542243e-002"/>
                  <c:y val="5.495136637332098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6"/>
              <c:layout>
                <c:manualLayout>
                  <c:x val="-3.6756756756756756e-002"/>
                  <c:y val="5.8807056846821616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7"/>
              <c:layout>
                <c:manualLayout>
                  <c:x val="-3.6756756756756756e-002"/>
                  <c:y val="4.7605712685522161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8"/>
              <c:layout>
                <c:manualLayout>
                  <c:x val="-4.1081081081081078e-002"/>
                  <c:y val="4.2005040604872583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dLbl>
              <c:idx val="9"/>
              <c:layout>
                <c:manualLayout>
                  <c:x val="-3.6756756756756756e-002"/>
                  <c:y val="4.2005040604872583e-002"/>
                </c:manualLayout>
              </c:layout>
              <c:spPr>
                <a:noFill/>
                <a:ln>
                  <a:noFill/>
                </a:ln>
                <a:effectLst/>
              </c:spPr>
              <c:txPr>
                <a:bodyPr/>
                <a:lstStyle/>
                <a:p>
                  <a:pPr>
                    <a:defRPr sz="1000">
                      <a:solidFill>
                        <a:schemeClr val="tx1"/>
                      </a:solidFill>
                      <a:latin typeface="ＭＳ Ｐゴシック"/>
                      <a:ea typeface="ＭＳ Ｐゴシック"/>
                    </a:defRPr>
                  </a:pPr>
                  <a:endParaRPr lang="ja-JP" altLang="en-US"/>
                </a:p>
              </c:txPr>
              <c:dLblPos val="r"/>
              <c:showLegendKey val="0"/>
              <c:showVal val="1"/>
              <c:showCatName val="0"/>
              <c:showSerName val="0"/>
              <c:showPercent val="0"/>
              <c:showBubbleSize val="0"/>
            </c:dLbl>
            <c:spPr>
              <a:noFill/>
              <a:ln>
                <a:noFill/>
              </a:ln>
              <a:effectLst/>
            </c:spPr>
            <c:txPr>
              <a:bodyPr rot="0" horzOverflow="overflow" anchor="ctr" anchorCtr="1"/>
              <a:lstStyle/>
              <a:p>
                <a:pPr algn="ctr" rtl="0">
                  <a:defRPr sz="1000">
                    <a:solidFill>
                      <a:schemeClr val="tx1"/>
                    </a:solidFill>
                    <a:latin typeface="ＭＳ Ｐゴシック"/>
                    <a:ea typeface="ＭＳ Ｐゴシック"/>
                  </a:defRPr>
                </a:pPr>
                <a:endParaRPr lang="ja-JP" altLang="en-US"/>
              </a:p>
            </c:txPr>
            <c:dLblPos val="t"/>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H30年度</c:v>
                </c:pt>
                <c:pt idx="6">
                  <c:v>R1年度</c:v>
                </c:pt>
                <c:pt idx="7">
                  <c:v>R2年度</c:v>
                </c:pt>
                <c:pt idx="8">
                  <c:v>R3年度</c:v>
                </c:pt>
                <c:pt idx="9">
                  <c:v>R4年度</c:v>
                </c:pt>
              </c:strCache>
            </c:strRef>
          </c:cat>
          <c:val>
            <c:numRef>
              <c:f>=Sheet1!$D$2:$D$11</c:f>
              <c:numCache>
                <c:formatCode>General</c:formatCode>
                <c:ptCount val="10"/>
                <c:pt idx="5" formatCode="#,##0;[Red]\-#,##0">
                  <c:v>808</c:v>
                </c:pt>
                <c:pt idx="6" formatCode="#,##0;[Red]\-#,##0">
                  <c:v>812</c:v>
                </c:pt>
                <c:pt idx="7" formatCode="#,##0;[Red]\-#,##0">
                  <c:v>805</c:v>
                </c:pt>
                <c:pt idx="8" formatCode="#,##0;[Red]\-#,##0">
                  <c:v>794</c:v>
                </c:pt>
                <c:pt idx="9" formatCode="#,##0;[Red]\-#,##0">
                  <c:v>796</c:v>
                </c:pt>
              </c:numCache>
            </c:numRef>
          </c:val>
          <c:smooth val="0"/>
        </c:ser>
        <c:ser>
          <c:idx val="3"/>
          <c:order val="3"/>
          <c:tx>
            <c:strRef>
              <c:f>=Sheet1!$E$1</c:f>
              <c:strCache>
                <c:ptCount val="1"/>
                <c:pt idx="0">
                  <c:v>高等学校</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Lbls>
            <c:dLbl>
              <c:idx val="0"/>
              <c:layout>
                <c:manualLayout>
                  <c:x val="-4.1081081081081092e-002"/>
                  <c:y val="-6.7208064967796133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1"/>
              <c:layout>
                <c:manualLayout>
                  <c:x val="-4.5405405405405407e-002"/>
                  <c:y val="-8.4010081209745222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2"/>
              <c:layout>
                <c:manualLayout>
                  <c:x val="-4.7567567567567609e-002"/>
                  <c:y val="-8.4010081209745222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3"/>
              <c:layout>
                <c:manualLayout>
                  <c:x val="-4.7567567567567567e-002"/>
                  <c:y val="-8.4010081209745166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4"/>
              <c:layout>
                <c:manualLayout>
                  <c:x val="-4.5405405405405483e-002"/>
                  <c:y val="-7.8409409129095498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5"/>
              <c:layout>
                <c:manualLayout>
                  <c:x val="-4.5405405405405407e-002"/>
                  <c:y val="-7.8409409129095498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6"/>
              <c:layout>
                <c:manualLayout>
                  <c:x val="-4.5405405405405407e-002"/>
                  <c:y val="-8.4010081209745166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7"/>
              <c:layout>
                <c:manualLayout>
                  <c:x val="-4.5405405405405483e-002"/>
                  <c:y val="-8.4010081209745222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8"/>
              <c:layout>
                <c:manualLayout>
                  <c:x val="-4.5405405405405483e-002"/>
                  <c:y val="-7.8409409129095498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9"/>
              <c:layout>
                <c:manualLayout>
                  <c:x val="-4.9729729729729812e-002"/>
                  <c:y val="-7.8409409129095595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dLbl>
              <c:idx val="10"/>
              <c:layout>
                <c:manualLayout>
                  <c:x val="-4.5405405405405407e-002"/>
                  <c:y val="-6.7208064967796133e-002"/>
                </c:manualLayout>
              </c:layout>
              <c:spPr>
                <a:noFill/>
                <a:ln>
                  <a:noFill/>
                </a:ln>
                <a:effectLst/>
              </c:spPr>
              <c:txPr>
                <a:bodyPr wrap="square" lIns="38100" tIns="19050" rIns="38100" bIns="19050">
                  <a:spAutoFit/>
                </a:bodyPr>
                <a:lstStyle/>
                <a:p>
                  <a:pPr>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1000">
                    <a:solidFill>
                      <a:schemeClr val="tx1"/>
                    </a:solidFill>
                    <a:latin typeface="ＭＳ Ｐゴシック"/>
                    <a:ea typeface="ＭＳ Ｐゴシック"/>
                  </a:defRPr>
                </a:pPr>
                <a:endParaRPr lang="ja-JP" altLang="en-US"/>
              </a:p>
            </c:txPr>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H30年度</c:v>
                </c:pt>
                <c:pt idx="6">
                  <c:v>R1年度</c:v>
                </c:pt>
                <c:pt idx="7">
                  <c:v>R2年度</c:v>
                </c:pt>
                <c:pt idx="8">
                  <c:v>R3年度</c:v>
                </c:pt>
                <c:pt idx="9">
                  <c:v>R4年度</c:v>
                </c:pt>
              </c:strCache>
            </c:strRef>
          </c:cat>
          <c:val>
            <c:numRef>
              <c:f>=Sheet1!$E$2:$E$11</c:f>
              <c:numCache>
                <c:formatCode>#,##0;[Red]\-#,##0</c:formatCode>
                <c:ptCount val="10"/>
                <c:pt idx="0">
                  <c:v>2868</c:v>
                </c:pt>
                <c:pt idx="1">
                  <c:v>2873</c:v>
                </c:pt>
                <c:pt idx="2">
                  <c:v>2802</c:v>
                </c:pt>
                <c:pt idx="3">
                  <c:v>2769</c:v>
                </c:pt>
                <c:pt idx="4">
                  <c:v>2714</c:v>
                </c:pt>
                <c:pt idx="5">
                  <c:v>2580</c:v>
                </c:pt>
                <c:pt idx="6">
                  <c:v>2462</c:v>
                </c:pt>
                <c:pt idx="7">
                  <c:v>2349</c:v>
                </c:pt>
                <c:pt idx="8">
                  <c:v>2292</c:v>
                </c:pt>
                <c:pt idx="9">
                  <c:v>2234</c:v>
                </c:pt>
              </c:numCache>
            </c:numRef>
          </c:val>
          <c:smooth val="0"/>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out"/>
        <c:minorTickMark val="none"/>
        <c:tickLblPos val="nextTo"/>
        <c:txPr>
          <a:bodyPr horzOverflow="overflow" anchor="ctr" anchorCtr="1"/>
          <a:lstStyle/>
          <a:p>
            <a:pPr algn="ctr" rtl="0">
              <a:defRPr sz="1000">
                <a:solidFill>
                  <a:schemeClr val="tx1"/>
                </a:solidFill>
                <a:latin typeface="ＭＳ Ｐゴシック"/>
                <a:ea typeface="ＭＳ Ｐゴシック"/>
              </a:defRPr>
            </a:pPr>
            <a:endParaRPr lang="ja-JP" altLang="en-US"/>
          </a:p>
        </c:txPr>
        <c:crossAx val="2"/>
        <c:crosses val="autoZero"/>
        <c:auto val="1"/>
        <c:lblAlgn val="ctr"/>
        <c:lblOffset val="100"/>
        <c:noMultiLvlLbl val="0"/>
      </c:catAx>
      <c:valAx>
        <c:axId val="2"/>
        <c:scaling>
          <c:orientation val="minMax"/>
          <c:max val="6000"/>
        </c:scaling>
        <c:delete val="0"/>
        <c:axPos val="l"/>
        <c:numFmt formatCode="#,##0;[Red]\-#,##0" sourceLinked="1"/>
        <c:majorTickMark val="out"/>
        <c:minorTickMark val="none"/>
        <c:tickLblPos val="nextTo"/>
        <c:txPr>
          <a:bodyPr horzOverflow="overflow" anchor="ctr" anchorCtr="1"/>
          <a:lstStyle/>
          <a:p>
            <a:pPr algn="ctr" rtl="0">
              <a:defRPr sz="1000">
                <a:solidFill>
                  <a:schemeClr val="tx1"/>
                </a:solidFill>
                <a:latin typeface="ＭＳ Ｐゴシック"/>
                <a:ea typeface="ＭＳ Ｐゴシック"/>
              </a:defRPr>
            </a:pPr>
            <a:endParaRPr lang="ja-JP" altLang="en-US"/>
          </a:p>
        </c:txPr>
        <c:crossAx val="1"/>
        <c:crosses val="autoZero"/>
        <c:crossBetween val="between"/>
      </c:valAx>
    </c:plotArea>
    <c:legend>
      <c:legendPos val="t"/>
      <c:layout>
        <c:manualLayout>
          <c:xMode val="edge"/>
          <c:yMode val="edge"/>
          <c:x val="0.12768912534581825"/>
          <c:y val="3.5831512379910786e-002"/>
          <c:w val="0.742054054054054"/>
          <c:h val="8.9050686082329883e-002"/>
        </c:manualLayout>
      </c:layout>
      <c:overlay val="0"/>
      <c:txPr>
        <a:bodyPr horzOverflow="overflow" anchor="ctr" anchorCtr="1"/>
        <a:lstStyle/>
        <a:p>
          <a:pPr algn="l" rtl="0">
            <a:defRPr sz="1000">
              <a:solidFill>
                <a:schemeClr val="tx1"/>
              </a:solidFill>
              <a:latin typeface="ＭＳ Ｐゴシック"/>
              <a:ea typeface="ＭＳ Ｐゴシック"/>
            </a:defRPr>
          </a:pPr>
          <a:endParaRPr lang="ja-JP" altLang="en-US"/>
        </a:p>
      </c:txPr>
    </c:legend>
    <c:plotVisOnly val="1"/>
    <c:dispBlanksAs val="gap"/>
    <c:showDLblsOverMax val="0"/>
  </c:chart>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大学等進学率</c:v>
                </c:pt>
              </c:strCache>
            </c:strRef>
          </c:tx>
          <c:spPr>
            <a:ln>
              <a:prstDash val="sysDot"/>
            </a:ln>
          </c:spPr>
          <c:dPt>
            <c:idx val="9"/>
            <c:invertIfNegative val="0"/>
            <c:bubble3D val="0"/>
          </c:dPt>
          <c:dLbls>
            <c:dLbl>
              <c:idx val="9"/>
              <c:layout/>
              <c:tx>
                <c:rich>
                  <a:bodyPr>
                    <a:noAutofit/>
                  </a:bodyPr>
                  <a:lstStyle/>
                  <a:p>
                    <a:pPr>
                      <a:defRPr sz="1000">
                        <a:solidFill>
                          <a:schemeClr val="tx1"/>
                        </a:solidFill>
                      </a:defRPr>
                    </a:pPr>
                    <a:fld id="{30657BD4-D2D3-4AE2-93C9-CDCB105E2BDB}" type="VALUE">
                      <a:rPr kumimoji="0" lang="ja-JP" altLang="en-US" sz="1000" kern="1200">
                        <a:solidFill>
                          <a:schemeClr val="tx1"/>
                        </a:solidFill>
                        <a:latin typeface="ＭＳ Ｐゴシック"/>
                        <a:ea typeface="ＭＳ Ｐゴシック"/>
                      </a:rPr>
                      <a:t>[値]</a:t>
                    </a:fld>
                    <a:r>
                      <a:rPr kumimoji="0" lang="ja-JP" altLang="en-US" sz="1000" kern="1200">
                        <a:solidFill>
                          <a:schemeClr val="tx1"/>
                        </a:solidFill>
                        <a:latin typeface="ＭＳ Ｐゴシック"/>
                        <a:ea typeface="ＭＳ Ｐゴシック"/>
                      </a:rPr>
                      <a:t>.0</a:t>
                    </a:r>
                    <a:endParaRPr kumimoji="0" lang="ja-JP" altLang="en-US" sz="1000" kern="1200">
                      <a:solidFill>
                        <a:schemeClr val="tx1"/>
                      </a:solidFill>
                      <a:latin typeface="ＭＳ Ｐゴシック"/>
                      <a:ea typeface="ＭＳ Ｐゴシック"/>
                    </a:endParaRPr>
                  </a:p>
                </c:rich>
              </c:tx>
              <c:spPr>
                <a:noFill/>
                <a:ln>
                  <a:noFill/>
                </a:ln>
                <a:effectLst/>
              </c:spPr>
              <c:dLblPos val="t"/>
              <c:showLegendKey val="0"/>
              <c:showVal val="1"/>
              <c:showCatName val="0"/>
              <c:showSerName val="0"/>
              <c:showPercent val="0"/>
              <c:showBubbleSize val="0"/>
              <c:extLst>
                <c:ext xmlns:c15="http://schemas.microsoft.com/office/drawing/2012/chart" uri="{CE6537A1-D6FC-4f65-9D91-7224C49458BB}">
                  <c15:layout>
                    <c:manualLayout>
                      <c:w val="6.4724919093851127e-002"/>
                      <c:h val="8.1920903954802254e-002"/>
                    </c:manualLayout>
                  </c15:layout>
                </c:ext>
              </c:extLst>
            </c:dLbl>
            <c:spPr>
              <a:noFill/>
              <a:ln>
                <a:noFill/>
              </a:ln>
              <a:effectLst/>
            </c:spPr>
            <c:txPr>
              <a:bodyPr rot="0" horzOverflow="overflow" anchor="ctr" anchorCtr="1">
                <a:spAutoFit/>
              </a:bodyPr>
              <a:lstStyle/>
              <a:p>
                <a:pPr algn="ctr" rtl="0">
                  <a:defRPr sz="1000">
                    <a:solidFill>
                      <a:schemeClr val="tx1"/>
                    </a:solidFill>
                  </a:defRPr>
                </a:pPr>
                <a:endParaRPr lang="ja-JP" altLang="en-US"/>
              </a:p>
            </c:txPr>
            <c:dLblPos val="t"/>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 xml:space="preserve">H30年度 </c:v>
                </c:pt>
                <c:pt idx="6">
                  <c:v>R1年度</c:v>
                </c:pt>
                <c:pt idx="7">
                  <c:v>R2年度</c:v>
                </c:pt>
                <c:pt idx="8">
                  <c:v>R3年度</c:v>
                </c:pt>
                <c:pt idx="9">
                  <c:v>R4年度</c:v>
                </c:pt>
              </c:strCache>
            </c:strRef>
          </c:cat>
          <c:val>
            <c:numRef>
              <c:f>=Sheet1!$B$2:$B$11</c:f>
              <c:numCache>
                <c:formatCode>General</c:formatCode>
                <c:ptCount val="10"/>
                <c:pt idx="0">
                  <c:v>49.9</c:v>
                </c:pt>
                <c:pt idx="1">
                  <c:v>51.7</c:v>
                </c:pt>
                <c:pt idx="2">
                  <c:v>48.3</c:v>
                </c:pt>
                <c:pt idx="3">
                  <c:v>50.9</c:v>
                </c:pt>
                <c:pt idx="4">
                  <c:v>48.5</c:v>
                </c:pt>
                <c:pt idx="5">
                  <c:v>49.3</c:v>
                </c:pt>
                <c:pt idx="6">
                  <c:v>48.2</c:v>
                </c:pt>
                <c:pt idx="7">
                  <c:v>55.1</c:v>
                </c:pt>
                <c:pt idx="8">
                  <c:v>50.1</c:v>
                </c:pt>
                <c:pt idx="9">
                  <c:v>52</c:v>
                </c:pt>
              </c:numCache>
            </c:numRef>
          </c:val>
          <c:smooth val="0"/>
        </c:ser>
        <c:ser>
          <c:idx val="1"/>
          <c:order val="1"/>
          <c:tx>
            <c:strRef>
              <c:f>=Sheet1!$C$1</c:f>
              <c:strCache>
                <c:ptCount val="1"/>
                <c:pt idx="0">
                  <c:v>専修・各種学校進学率</c:v>
                </c:pt>
              </c:strCache>
            </c:strRef>
          </c:tx>
          <c:dPt>
            <c:idx val="0"/>
            <c:invertIfNegative val="0"/>
            <c:bubble3D val="0"/>
          </c:dPt>
          <c:dPt>
            <c:idx val="10"/>
            <c:invertIfNegative val="0"/>
            <c:bubble3D val="0"/>
          </c:dPt>
          <c:dLbls>
            <c:dLbl>
              <c:idx val="0"/>
              <c:layout>
                <c:manualLayout>
                  <c:x val="-4.1450711246281087e-002"/>
                  <c:y val="-4.371541740728601e-002"/>
                </c:manualLayout>
              </c:layout>
              <c:spPr>
                <a:noFill/>
                <a:ln>
                  <a:noFill/>
                </a:ln>
                <a:effectLst/>
              </c:spPr>
              <c:txPr>
                <a:bodyPr>
                  <a:spAutoFit/>
                </a:bodyPr>
                <a:lstStyle/>
                <a:p>
                  <a:pPr>
                    <a:defRPr sz="1000">
                      <a:solidFill>
                        <a:schemeClr val="tx1"/>
                      </a:solidFill>
                    </a:defRPr>
                  </a:pPr>
                  <a:endParaRPr lang="ja-JP" altLang="en-US"/>
                </a:p>
              </c:txPr>
              <c:dLblPos val="r"/>
              <c:showLegendKey val="0"/>
              <c:showVal val="1"/>
              <c:showCatName val="0"/>
              <c:showSerName val="0"/>
              <c:showPercent val="0"/>
              <c:showBubbleSize val="0"/>
            </c:dLbl>
            <c:dLbl>
              <c:idx val="10"/>
              <c:layout>
                <c:manualLayout>
                  <c:x val="-4.493783490022616e-002"/>
                  <c:y val="-6.0637514468170915e-002"/>
                </c:manualLayout>
              </c:layout>
              <c:spPr>
                <a:noFill/>
                <a:ln>
                  <a:noFill/>
                </a:ln>
                <a:effectLst/>
              </c:spPr>
              <c:txPr>
                <a:bodyPr>
                  <a:spAutoFit/>
                </a:bodyPr>
                <a:lstStyle/>
                <a:p>
                  <a:pPr>
                    <a:defRPr sz="1000">
                      <a:solidFill>
                        <a:schemeClr val="tx1"/>
                      </a:solidFill>
                    </a:defRPr>
                  </a:pPr>
                  <a:endParaRPr lang="ja-JP" altLang="en-US"/>
                </a:p>
              </c:txPr>
              <c:dLblPos val="r"/>
              <c:showLegendKey val="0"/>
              <c:showVal val="1"/>
              <c:showCatName val="0"/>
              <c:showSerName val="0"/>
              <c:showPercent val="0"/>
              <c:showBubbleSize val="0"/>
            </c:dLbl>
            <c:spPr>
              <a:noFill/>
              <a:ln>
                <a:noFill/>
              </a:ln>
              <a:effectLst/>
            </c:spPr>
            <c:txPr>
              <a:bodyPr rot="0" horzOverflow="overflow" anchor="ctr" anchorCtr="1">
                <a:spAutoFit/>
              </a:bodyPr>
              <a:lstStyle/>
              <a:p>
                <a:pPr algn="ctr" rtl="0">
                  <a:defRPr sz="1000">
                    <a:solidFill>
                      <a:schemeClr val="tx1"/>
                    </a:solidFill>
                  </a:defRPr>
                </a:pPr>
                <a:endParaRPr lang="ja-JP" altLang="en-US"/>
              </a:p>
            </c:txPr>
            <c:dLblPos val="t"/>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 xml:space="preserve">H30年度 </c:v>
                </c:pt>
                <c:pt idx="6">
                  <c:v>R1年度</c:v>
                </c:pt>
                <c:pt idx="7">
                  <c:v>R2年度</c:v>
                </c:pt>
                <c:pt idx="8">
                  <c:v>R3年度</c:v>
                </c:pt>
                <c:pt idx="9">
                  <c:v>R4年度</c:v>
                </c:pt>
              </c:strCache>
            </c:strRef>
          </c:cat>
          <c:val>
            <c:numRef>
              <c:f>=Sheet1!$C$2:$C$11</c:f>
              <c:numCache>
                <c:formatCode>General</c:formatCode>
                <c:ptCount val="10"/>
                <c:pt idx="0">
                  <c:v>31.5</c:v>
                </c:pt>
                <c:pt idx="1">
                  <c:v>30.1</c:v>
                </c:pt>
                <c:pt idx="2">
                  <c:v>29.2</c:v>
                </c:pt>
                <c:pt idx="3">
                  <c:v>27.6</c:v>
                </c:pt>
                <c:pt idx="4">
                  <c:v>28.6</c:v>
                </c:pt>
                <c:pt idx="5">
                  <c:v>26.8</c:v>
                </c:pt>
                <c:pt idx="6">
                  <c:v>27.7</c:v>
                </c:pt>
                <c:pt idx="7">
                  <c:v>24.9</c:v>
                </c:pt>
                <c:pt idx="8">
                  <c:v>31.2</c:v>
                </c:pt>
                <c:pt idx="9">
                  <c:v>28.5</c:v>
                </c:pt>
              </c:numCache>
            </c:numRef>
          </c:val>
          <c:smooth val="0"/>
        </c:ser>
        <c:ser>
          <c:idx val="2"/>
          <c:order val="2"/>
          <c:tx>
            <c:strRef>
              <c:f>=Sheet1!$D$1</c:f>
              <c:strCache>
                <c:ptCount val="1"/>
                <c:pt idx="0">
                  <c:v>就職率</c:v>
                </c:pt>
              </c:strCache>
            </c:strRef>
          </c:tx>
          <c:spPr>
            <a:ln>
              <a:prstDash val="sysDash"/>
            </a:ln>
          </c:spPr>
          <c:dLbls>
            <c:spPr>
              <a:noFill/>
              <a:ln>
                <a:noFill/>
              </a:ln>
              <a:effectLst/>
            </c:spPr>
            <c:txPr>
              <a:bodyPr rot="0" horzOverflow="overflow" anchor="ctr" anchorCtr="1">
                <a:spAutoFit/>
              </a:bodyPr>
              <a:lstStyle/>
              <a:p>
                <a:pPr algn="ctr" rtl="0">
                  <a:defRPr sz="1000">
                    <a:solidFill>
                      <a:schemeClr val="tx1"/>
                    </a:solidFill>
                  </a:defRPr>
                </a:pPr>
                <a:endParaRPr lang="ja-JP" altLang="en-US"/>
              </a:p>
            </c:txPr>
            <c:dLblPos val="b"/>
            <c:showLegendKey val="0"/>
            <c:showVal val="1"/>
            <c:showCatName val="0"/>
            <c:showSerName val="0"/>
            <c:showPercent val="0"/>
            <c:showBubbleSize val="0"/>
          </c:dLbls>
          <c:cat>
            <c:strRef>
              <c:f>=Sheet1!$A$2:$A$11</c:f>
              <c:strCache>
                <c:ptCount val="10"/>
                <c:pt idx="0">
                  <c:v>H25年度</c:v>
                </c:pt>
                <c:pt idx="1">
                  <c:v>H26年度</c:v>
                </c:pt>
                <c:pt idx="2">
                  <c:v>H27年度</c:v>
                </c:pt>
                <c:pt idx="3">
                  <c:v>H28年度</c:v>
                </c:pt>
                <c:pt idx="4">
                  <c:v>H29年度</c:v>
                </c:pt>
                <c:pt idx="5">
                  <c:v xml:space="preserve">H30年度 </c:v>
                </c:pt>
                <c:pt idx="6">
                  <c:v>R1年度</c:v>
                </c:pt>
                <c:pt idx="7">
                  <c:v>R2年度</c:v>
                </c:pt>
                <c:pt idx="8">
                  <c:v>R3年度</c:v>
                </c:pt>
                <c:pt idx="9">
                  <c:v>R4年度</c:v>
                </c:pt>
              </c:strCache>
            </c:strRef>
          </c:cat>
          <c:val>
            <c:numRef>
              <c:f>=Sheet1!$D$2:$D$11</c:f>
              <c:numCache>
                <c:formatCode>General</c:formatCode>
                <c:ptCount val="10"/>
                <c:pt idx="0">
                  <c:v>14.4</c:v>
                </c:pt>
                <c:pt idx="1">
                  <c:v>15.9</c:v>
                </c:pt>
                <c:pt idx="2">
                  <c:v>18.5</c:v>
                </c:pt>
                <c:pt idx="3">
                  <c:v>19.2</c:v>
                </c:pt>
                <c:pt idx="4">
                  <c:v>19.7</c:v>
                </c:pt>
                <c:pt idx="5">
                  <c:v>18.399999999999999</c:v>
                </c:pt>
                <c:pt idx="6">
                  <c:v>18.7</c:v>
                </c:pt>
                <c:pt idx="7">
                  <c:v>17.399999999999999</c:v>
                </c:pt>
                <c:pt idx="8">
                  <c:v>14.6</c:v>
                </c:pt>
                <c:pt idx="9">
                  <c:v>15.5</c:v>
                </c:pt>
              </c:numCache>
            </c:numRef>
          </c:val>
          <c:smooth val="0"/>
        </c:ser>
        <c:dLbls>
          <c:txPr>
            <a:bodyPr rot="0" horzOverflow="overflow" anchor="ctr" anchorCtr="1">
              <a:spAutoFit/>
            </a:bodyP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t"/>
      <c:layout>
        <c:manualLayout>
          <c:xMode val="edge"/>
          <c:yMode val="edge"/>
          <c:x val="0.16546271360683357"/>
          <c:y val="0"/>
          <c:w val="0.66476335664862651"/>
          <c:h val="8.9687114422690006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txPr>
    <a:bodyPr horzOverflow="overflow" anchor="ctr" anchorCtr="1"/>
    <a:lstStyle/>
    <a:p>
      <a:pPr algn="ctr" rtl="0">
        <a:defRPr lang="ja-JP" altLang="en-US" sz="1000">
          <a:solidFill>
            <a:schemeClr val="tx1"/>
          </a:solidFill>
          <a:latin typeface="ＭＳ Ｐゴシック"/>
          <a:ea typeface="ＭＳ Ｐゴシック"/>
        </a:defRPr>
      </a:pPr>
      <a:endParaRPr lang="ja-JP" altLang="en-US"/>
    </a:p>
  </c:txPr>
  <c:externalData r:id="rId1">
    <c:autoUpdate val="0"/>
  </c:externalData>
  <c:extLst>
    <c:ext xmlns:c14="http://schemas.microsoft.com/office/drawing/2007/8/2/chart" uri="{781A3756-C4B2-4CAC-9D66-4F8BD8637D16}"/>
  </c:extLst>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2769</TotalTime>
  <Pages>4</Pages>
  <Words>281</Words>
  <Characters>2310</Characters>
  <Application>Microsoft Office Word</Application>
  <Lines>1287</Lines>
  <Paragraphs>335</Paragraphs>
  <CharactersWithSpaces>2426</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長澤 瑞貴</dc:creator>
  <cp:lastModifiedBy>岡野　真由美</cp:lastModifiedBy>
  <cp:lastPrinted>2023-05-16T07:24:33Z</cp:lastPrinted>
  <dcterms:created xsi:type="dcterms:W3CDTF">2015-04-07T10:53:00Z</dcterms:created>
  <dcterms:modified xsi:type="dcterms:W3CDTF">2023-05-16T07:27:42Z</dcterms:modified>
  <cp:revision>180</cp:revision>
</cp:coreProperties>
</file>