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2.xml" ContentType="application/vnd.openxmlformats-officedocument.drawingml.chartshapes+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6" w:rightChars="-22"/>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32"/>
        </w:rPr>
        <w:t>結果の概要</w:t>
      </w:r>
    </w:p>
    <w:p>
      <w:pPr>
        <w:pStyle w:val="0"/>
        <w:jc w:val="left"/>
        <w:rPr>
          <w:rFonts w:hint="default" w:ascii="ＭＳ ゴシック" w:hAnsi="ＭＳ ゴシック" w:eastAsia="ＭＳ ゴシック"/>
          <w:color w:val="auto"/>
          <w:sz w:val="22"/>
        </w:rPr>
      </w:pPr>
    </w:p>
    <w:p>
      <w:pPr>
        <w:pStyle w:val="0"/>
        <w:jc w:val="lef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１　民営事業所数及び従業者数の状況</w:t>
      </w:r>
    </w:p>
    <w:p>
      <w:pPr>
        <w:pStyle w:val="0"/>
        <w:spacing w:line="20" w:lineRule="atLeast"/>
        <w:ind w:left="239" w:leftChars="114" w:rightChars="0" w:firstLine="220" w:firstLineChars="1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令和３年経済センサス‐活動調査の結果、６月１日現在の三条市の民営事業所数は</w:t>
      </w:r>
      <w:r>
        <w:rPr>
          <w:rFonts w:hint="eastAsia" w:ascii="ＭＳ 明朝" w:hAnsi="ＭＳ 明朝" w:eastAsia="ＭＳ 明朝"/>
          <w:color w:val="auto"/>
          <w:kern w:val="0"/>
          <w:sz w:val="22"/>
        </w:rPr>
        <w:t>5,581</w:t>
      </w:r>
      <w:r>
        <w:rPr>
          <w:rFonts w:hint="eastAsia" w:ascii="ＭＳ 明朝" w:hAnsi="ＭＳ 明朝" w:eastAsia="ＭＳ 明朝"/>
          <w:color w:val="auto"/>
          <w:kern w:val="0"/>
          <w:sz w:val="22"/>
        </w:rPr>
        <w:t>事業所、従業者数は</w:t>
      </w:r>
      <w:r>
        <w:rPr>
          <w:rFonts w:hint="eastAsia" w:ascii="ＭＳ 明朝" w:hAnsi="ＭＳ 明朝" w:eastAsia="ＭＳ 明朝"/>
          <w:color w:val="auto"/>
          <w:kern w:val="0"/>
          <w:sz w:val="22"/>
        </w:rPr>
        <w:t>51</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655</w:t>
      </w:r>
      <w:r>
        <w:rPr>
          <w:rFonts w:hint="eastAsia" w:ascii="ＭＳ 明朝" w:hAnsi="ＭＳ 明朝" w:eastAsia="ＭＳ 明朝"/>
          <w:color w:val="auto"/>
          <w:kern w:val="0"/>
          <w:sz w:val="22"/>
        </w:rPr>
        <w:t>人となった。</w:t>
      </w:r>
    </w:p>
    <w:p>
      <w:pPr>
        <w:pStyle w:val="0"/>
        <w:spacing w:line="20" w:lineRule="atLeast"/>
        <w:ind w:left="239" w:leftChars="114" w:rightChars="0" w:firstLine="220" w:firstLineChars="1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これを平成</w:t>
      </w:r>
      <w:r>
        <w:rPr>
          <w:rFonts w:hint="eastAsia" w:ascii="ＭＳ 明朝" w:hAnsi="ＭＳ 明朝" w:eastAsia="ＭＳ 明朝"/>
          <w:color w:val="auto"/>
          <w:kern w:val="0"/>
          <w:sz w:val="22"/>
        </w:rPr>
        <w:t>28</w:t>
      </w:r>
      <w:r>
        <w:rPr>
          <w:rFonts w:hint="eastAsia" w:ascii="ＭＳ 明朝" w:hAnsi="ＭＳ 明朝" w:eastAsia="ＭＳ 明朝"/>
          <w:color w:val="auto"/>
          <w:kern w:val="0"/>
          <w:sz w:val="22"/>
        </w:rPr>
        <w:t>年経済センサス</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活動調査（以下「前回調査」という。）と比べると、民営事業所数は</w:t>
      </w:r>
      <w:r>
        <w:rPr>
          <w:rFonts w:hint="eastAsia" w:ascii="ＭＳ 明朝" w:hAnsi="ＭＳ 明朝" w:eastAsia="ＭＳ 明朝"/>
          <w:color w:val="auto"/>
          <w:kern w:val="0"/>
          <w:sz w:val="22"/>
        </w:rPr>
        <w:t>244</w:t>
      </w:r>
      <w:r>
        <w:rPr>
          <w:rFonts w:hint="eastAsia" w:ascii="ＭＳ 明朝" w:hAnsi="ＭＳ 明朝" w:eastAsia="ＭＳ 明朝"/>
          <w:color w:val="auto"/>
          <w:kern w:val="0"/>
          <w:sz w:val="22"/>
        </w:rPr>
        <w:t>事業所（△</w:t>
      </w:r>
      <w:r>
        <w:rPr>
          <w:rFonts w:hint="eastAsia" w:ascii="ＭＳ 明朝" w:hAnsi="ＭＳ 明朝" w:eastAsia="ＭＳ 明朝"/>
          <w:color w:val="auto"/>
          <w:kern w:val="0"/>
          <w:sz w:val="22"/>
        </w:rPr>
        <w:t>4.2</w:t>
      </w:r>
      <w:r>
        <w:rPr>
          <w:rFonts w:hint="eastAsia" w:ascii="ＭＳ 明朝" w:hAnsi="ＭＳ 明朝" w:eastAsia="ＭＳ 明朝"/>
          <w:color w:val="auto"/>
          <w:kern w:val="0"/>
          <w:sz w:val="22"/>
        </w:rPr>
        <w:t>％）減少し、従業者数は</w:t>
      </w:r>
      <w:r>
        <w:rPr>
          <w:rFonts w:hint="eastAsia" w:ascii="ＭＳ 明朝" w:hAnsi="ＭＳ 明朝" w:eastAsia="ＭＳ 明朝"/>
          <w:color w:val="auto"/>
          <w:kern w:val="0"/>
          <w:sz w:val="22"/>
        </w:rPr>
        <w:t>830</w:t>
      </w:r>
      <w:r>
        <w:rPr>
          <w:rFonts w:hint="eastAsia" w:ascii="ＭＳ 明朝" w:hAnsi="ＭＳ 明朝" w:eastAsia="ＭＳ 明朝"/>
          <w:color w:val="auto"/>
          <w:kern w:val="0"/>
          <w:sz w:val="22"/>
        </w:rPr>
        <w:t>人（</w:t>
      </w:r>
      <w:r>
        <w:rPr>
          <w:rFonts w:hint="eastAsia" w:ascii="ＭＳ 明朝" w:hAnsi="ＭＳ 明朝" w:eastAsia="ＭＳ 明朝"/>
          <w:color w:val="auto"/>
          <w:kern w:val="0"/>
          <w:sz w:val="22"/>
        </w:rPr>
        <w:t>1.6</w:t>
      </w:r>
      <w:r>
        <w:rPr>
          <w:rFonts w:hint="eastAsia" w:ascii="ＭＳ 明朝" w:hAnsi="ＭＳ 明朝" w:eastAsia="ＭＳ 明朝"/>
          <w:color w:val="auto"/>
          <w:kern w:val="0"/>
          <w:sz w:val="22"/>
        </w:rPr>
        <w:t>％）増加した。</w:t>
      </w:r>
    </w:p>
    <w:p>
      <w:pPr>
        <w:pStyle w:val="0"/>
        <w:jc w:val="left"/>
        <w:rPr>
          <w:rFonts w:hint="default" w:ascii="ＭＳ ゴシック" w:hAnsi="ＭＳ ゴシック" w:eastAsia="ＭＳ ゴシック"/>
          <w:color w:val="auto"/>
          <w:sz w:val="22"/>
        </w:rPr>
      </w:pPr>
    </w:p>
    <w:p>
      <w:pPr>
        <w:pStyle w:val="0"/>
        <w:jc w:val="lef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表１　産業大分類別民営事業所数　　　　　　　　　　　　　　　　　　　　</w:t>
      </w:r>
    </w:p>
    <w:tbl>
      <w:tblPr>
        <w:tblStyle w:val="11"/>
        <w:tblW w:w="9875" w:type="dxa"/>
        <w:tblInd w:w="0" w:type="dxa"/>
        <w:tblLayout w:type="fixed"/>
        <w:tblCellMar>
          <w:left w:w="0" w:type="dxa"/>
          <w:right w:w="0" w:type="dxa"/>
        </w:tblCellMar>
        <w:tblLook w:firstRow="1" w:lastRow="0" w:firstColumn="1" w:lastColumn="0" w:noHBand="0" w:noVBand="1" w:val="04A0"/>
      </w:tblPr>
      <w:tblGrid>
        <w:gridCol w:w="4564"/>
        <w:gridCol w:w="1063"/>
        <w:gridCol w:w="1061"/>
        <w:gridCol w:w="1063"/>
        <w:gridCol w:w="1061"/>
        <w:gridCol w:w="1063"/>
      </w:tblGrid>
      <w:tr>
        <w:trPr>
          <w:trHeight w:val="426" w:hRule="atLeast"/>
        </w:trPr>
        <w:tc>
          <w:tcPr>
            <w:tcW w:w="4252" w:type="dxa"/>
            <w:vMerge w:val="restart"/>
            <w:tcBorders>
              <w:top w:val="single" w:color="auto" w:sz="4" w:space="0"/>
              <w:left w:val="single" w:color="auto" w:sz="4" w:space="0"/>
              <w:bottom w:val="single" w:color="000000" w:sz="4" w:space="0"/>
              <w:right w:val="single" w:color="auto" w:sz="4" w:space="0"/>
              <w:tl2br w:val="single" w:color="auto" w:sz="4" w:space="0"/>
              <w:tr2bl w:val="none" w:color="auto" w:sz="0" w:space="0"/>
            </w:tcBorders>
            <w:shd w:val="clear" w:color="auto" w:fill="auto"/>
            <w:vAlign w:val="center"/>
          </w:tcPr>
          <w:p>
            <w:pPr>
              <w:pStyle w:val="0"/>
              <w:rPr>
                <w:rFonts w:hint="default" w:ascii="ＭＳ 明朝" w:hAnsi="ＭＳ 明朝" w:eastAsia="ＭＳ 明朝"/>
                <w:color w:val="auto"/>
                <w:sz w:val="20"/>
              </w:rPr>
            </w:pPr>
            <w:r>
              <w:rPr>
                <w:rFonts w:hint="eastAsia" w:ascii="ＭＳ 明朝" w:hAnsi="ＭＳ 明朝" w:eastAsia="ＭＳ 明朝"/>
                <w:color w:val="auto"/>
                <w:sz w:val="20"/>
              </w:rPr>
              <w:t>　　　　　　　　　　　　　　　　　　　　区分　</w:t>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br w:type="textWrapping" w:clear="none"/>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産業大分類別　　　　　　　　　　　　　　　</w:t>
            </w:r>
          </w:p>
        </w:tc>
        <w:tc>
          <w:tcPr>
            <w:tcW w:w="990" w:type="dxa"/>
            <w:vMerge w:val="restart"/>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0"/>
              </w:rPr>
            </w:pPr>
            <w:r>
              <w:rPr>
                <w:rFonts w:hint="eastAsia" w:asciiTheme="minorEastAsia" w:hAnsiTheme="minorEastAsia"/>
                <w:color w:val="auto"/>
                <w:sz w:val="20"/>
              </w:rPr>
              <w:t>令和３年</w:t>
            </w:r>
          </w:p>
        </w:tc>
        <w:tc>
          <w:tcPr>
            <w:tcW w:w="98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default" w:asciiTheme="minorEastAsia" w:hAnsiTheme="minorEastAsia"/>
                <w:color w:val="auto"/>
                <w:sz w:val="20"/>
              </w:rPr>
            </w:pPr>
            <w:r>
              <w:rPr>
                <w:rFonts w:hint="eastAsia" w:asciiTheme="minorEastAsia" w:hAnsiTheme="minorEastAsia"/>
                <w:color w:val="auto"/>
                <w:sz w:val="20"/>
              </w:rPr>
              <w:t>　</w:t>
            </w:r>
          </w:p>
        </w:tc>
        <w:tc>
          <w:tcPr>
            <w:tcW w:w="99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default" w:asciiTheme="minorEastAsia" w:hAnsiTheme="minorEastAsia"/>
                <w:color w:val="auto"/>
                <w:sz w:val="20"/>
              </w:rPr>
            </w:pPr>
            <w:r>
              <w:rPr>
                <w:rFonts w:hint="eastAsia" w:asciiTheme="minorEastAsia" w:hAnsiTheme="minorEastAsia"/>
                <w:color w:val="auto"/>
                <w:sz w:val="20"/>
              </w:rPr>
              <w:t>　</w:t>
            </w:r>
          </w:p>
        </w:tc>
        <w:tc>
          <w:tcPr>
            <w:tcW w:w="989"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rPr>
                <w:rFonts w:hint="default" w:asciiTheme="minorEastAsia" w:hAnsiTheme="minorEastAsia"/>
                <w:color w:val="auto"/>
                <w:sz w:val="20"/>
              </w:rPr>
            </w:pPr>
            <w:r>
              <w:rPr>
                <w:rFonts w:hint="eastAsia" w:asciiTheme="minorEastAsia" w:hAnsiTheme="minorEastAsia"/>
                <w:color w:val="auto"/>
                <w:sz w:val="20"/>
              </w:rPr>
              <w:t>　</w:t>
            </w:r>
          </w:p>
        </w:tc>
        <w:tc>
          <w:tcPr>
            <w:tcW w:w="99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0"/>
              </w:rPr>
            </w:pPr>
            <w:r>
              <w:rPr>
                <w:rFonts w:hint="eastAsia" w:asciiTheme="minorEastAsia" w:hAnsiTheme="minorEastAsia"/>
                <w:color w:val="auto"/>
                <w:sz w:val="20"/>
              </w:rPr>
              <w:t>【参考値】平成</w:t>
            </w:r>
            <w:r>
              <w:rPr>
                <w:rFonts w:hint="eastAsia" w:asciiTheme="minorEastAsia" w:hAnsiTheme="minorEastAsia"/>
                <w:color w:val="auto"/>
                <w:sz w:val="20"/>
              </w:rPr>
              <w:t>28</w:t>
            </w:r>
            <w:r>
              <w:rPr>
                <w:rFonts w:hint="eastAsia" w:asciiTheme="minorEastAsia" w:hAnsiTheme="minorEastAsia"/>
                <w:color w:val="auto"/>
                <w:sz w:val="20"/>
              </w:rPr>
              <w:t>年</w:t>
            </w:r>
          </w:p>
        </w:tc>
      </w:tr>
      <w:tr>
        <w:trPr>
          <w:trHeight w:val="354" w:hRule="atLeast"/>
        </w:trPr>
        <w:tc>
          <w:tcPr>
            <w:tcW w:w="4252"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0"/>
              </w:rPr>
            </w:pPr>
          </w:p>
        </w:tc>
        <w:tc>
          <w:tcPr>
            <w:tcW w:w="990" w:type="dxa"/>
            <w:vMerge w:val="continue"/>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0"/>
              <w:rPr>
                <w:rFonts w:hint="default" w:asciiTheme="minorEastAsia" w:hAnsiTheme="minorEastAsia"/>
                <w:color w:val="000000"/>
              </w:rPr>
            </w:pPr>
          </w:p>
        </w:tc>
        <w:tc>
          <w:tcPr>
            <w:tcW w:w="98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0"/>
              </w:rPr>
            </w:pPr>
            <w:r>
              <w:rPr>
                <w:rFonts w:hint="eastAsia" w:asciiTheme="minorEastAsia" w:hAnsiTheme="minorEastAsia"/>
                <w:color w:val="auto"/>
                <w:sz w:val="20"/>
              </w:rPr>
              <w:t>構成比</w:t>
            </w:r>
          </w:p>
        </w:tc>
        <w:tc>
          <w:tcPr>
            <w:tcW w:w="99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0"/>
              </w:rPr>
            </w:pPr>
            <w:r>
              <w:rPr>
                <w:rFonts w:hint="eastAsia" w:asciiTheme="minorEastAsia" w:hAnsiTheme="minorEastAsia"/>
                <w:color w:val="auto"/>
                <w:sz w:val="20"/>
              </w:rPr>
              <w:t>増減数</w:t>
            </w:r>
          </w:p>
        </w:tc>
        <w:tc>
          <w:tcPr>
            <w:tcW w:w="98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0"/>
              </w:rPr>
            </w:pPr>
            <w:r>
              <w:rPr>
                <w:rFonts w:hint="eastAsia" w:asciiTheme="minorEastAsia" w:hAnsiTheme="minorEastAsia"/>
                <w:color w:val="auto"/>
                <w:sz w:val="20"/>
              </w:rPr>
              <w:t>増減率</w:t>
            </w:r>
          </w:p>
        </w:tc>
        <w:tc>
          <w:tcPr>
            <w:tcW w:w="99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sz w:val="20"/>
              </w:rPr>
            </w:pPr>
          </w:p>
        </w:tc>
      </w:tr>
      <w:tr>
        <w:trPr>
          <w:trHeight w:val="355" w:hRule="atLeast"/>
        </w:trPr>
        <w:tc>
          <w:tcPr>
            <w:tcW w:w="4252"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sz w:val="20"/>
              </w:rPr>
            </w:pPr>
          </w:p>
        </w:tc>
        <w:tc>
          <w:tcPr>
            <w:tcW w:w="990" w:type="dxa"/>
            <w:vMerge w:val="continue"/>
            <w:tcBorders>
              <w:top w:val="single" w:color="auto" w:sz="4" w:space="0"/>
              <w:left w:val="single" w:color="auto" w:sz="4" w:space="0"/>
              <w:bottom w:val="single" w:color="000000" w:sz="4" w:space="0"/>
              <w:right w:val="nil"/>
              <w:tl2br w:val="none" w:color="auto" w:sz="0" w:space="0"/>
              <w:tr2bl w:val="none" w:color="auto" w:sz="0" w:space="0"/>
            </w:tcBorders>
            <w:vAlign w:val="center"/>
          </w:tcPr>
          <w:p>
            <w:pPr>
              <w:pStyle w:val="0"/>
              <w:rPr>
                <w:rFonts w:hint="default" w:asciiTheme="minorEastAsia" w:hAnsiTheme="minorEastAsia"/>
                <w:color w:val="000000"/>
              </w:rPr>
            </w:pPr>
          </w:p>
        </w:tc>
        <w:tc>
          <w:tcPr>
            <w:tcW w:w="98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sz w:val="20"/>
              </w:rPr>
            </w:pPr>
          </w:p>
        </w:tc>
        <w:tc>
          <w:tcPr>
            <w:tcW w:w="99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sz w:val="20"/>
              </w:rPr>
            </w:pPr>
          </w:p>
        </w:tc>
        <w:tc>
          <w:tcPr>
            <w:tcW w:w="98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sz w:val="20"/>
              </w:rPr>
            </w:pPr>
          </w:p>
        </w:tc>
        <w:tc>
          <w:tcPr>
            <w:tcW w:w="99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sz w:val="20"/>
              </w:rPr>
            </w:pPr>
          </w:p>
        </w:tc>
      </w:tr>
      <w:tr>
        <w:trPr>
          <w:trHeight w:val="403" w:hRule="atLeast"/>
        </w:trPr>
        <w:tc>
          <w:tcPr>
            <w:tcW w:w="4252"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ascii="Century" w:hAnsi="Century" w:eastAsia="ＭＳ Ｐゴシック"/>
                <w:color w:val="auto"/>
              </w:rPr>
            </w:pPr>
            <w:r>
              <w:rPr>
                <w:rFonts w:hint="default" w:ascii="Century" w:hAnsi="Century"/>
                <w:color w:val="auto"/>
              </w:rPr>
              <w:t>　</w:t>
            </w:r>
          </w:p>
        </w:tc>
        <w:tc>
          <w:tcPr>
            <w:tcW w:w="99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ordWrap w:val="0"/>
              <w:jc w:val="right"/>
              <w:rPr>
                <w:rFonts w:hint="default"/>
                <w:sz w:val="20"/>
              </w:rPr>
            </w:pPr>
            <w:r>
              <w:rPr>
                <w:rFonts w:hint="eastAsia"/>
                <w:sz w:val="20"/>
              </w:rPr>
              <w:t>事業所</w:t>
            </w:r>
            <w:r>
              <w:rPr>
                <w:rFonts w:hint="eastAsia"/>
                <w:sz w:val="20"/>
              </w:rPr>
              <w:t xml:space="preserve"> </w:t>
            </w:r>
          </w:p>
        </w:tc>
        <w:tc>
          <w:tcPr>
            <w:tcW w:w="98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ordWrap w:val="0"/>
              <w:jc w:val="right"/>
              <w:rPr>
                <w:rFonts w:hint="default" w:asciiTheme="minorEastAsia" w:hAnsiTheme="minorEastAsia"/>
                <w:color w:val="auto"/>
                <w:sz w:val="20"/>
              </w:rPr>
            </w:pPr>
            <w:r>
              <w:rPr>
                <w:rFonts w:hint="eastAsia" w:asciiTheme="minorEastAsia" w:hAnsiTheme="minorEastAsia"/>
                <w:color w:val="auto"/>
                <w:sz w:val="20"/>
              </w:rPr>
              <w:t>％</w:t>
            </w:r>
            <w:r>
              <w:rPr>
                <w:rFonts w:hint="eastAsia" w:asciiTheme="minorEastAsia" w:hAnsiTheme="minorEastAsia"/>
                <w:color w:val="auto"/>
                <w:sz w:val="20"/>
              </w:rPr>
              <w:t xml:space="preserve"> </w:t>
            </w:r>
          </w:p>
        </w:tc>
        <w:tc>
          <w:tcPr>
            <w:tcW w:w="99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ordWrap w:val="0"/>
              <w:jc w:val="right"/>
              <w:rPr>
                <w:rFonts w:hint="default" w:asciiTheme="minorEastAsia" w:hAnsiTheme="minorEastAsia"/>
                <w:color w:val="auto"/>
                <w:sz w:val="20"/>
              </w:rPr>
            </w:pPr>
            <w:r>
              <w:rPr>
                <w:rFonts w:hint="eastAsia" w:asciiTheme="minorEastAsia" w:hAnsiTheme="minorEastAsia"/>
                <w:color w:val="auto"/>
                <w:sz w:val="20"/>
              </w:rPr>
              <w:t>事業所</w:t>
            </w:r>
            <w:r>
              <w:rPr>
                <w:rFonts w:hint="eastAsia" w:asciiTheme="minorEastAsia" w:hAnsiTheme="minorEastAsia"/>
                <w:color w:val="auto"/>
                <w:sz w:val="20"/>
              </w:rPr>
              <w:t xml:space="preserve"> </w:t>
            </w:r>
          </w:p>
        </w:tc>
        <w:tc>
          <w:tcPr>
            <w:tcW w:w="98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ordWrap w:val="0"/>
              <w:jc w:val="right"/>
              <w:rPr>
                <w:rFonts w:hint="default" w:asciiTheme="minorEastAsia" w:hAnsiTheme="minorEastAsia"/>
                <w:color w:val="auto"/>
                <w:sz w:val="20"/>
              </w:rPr>
            </w:pPr>
            <w:r>
              <w:rPr>
                <w:rFonts w:hint="eastAsia" w:asciiTheme="minorEastAsia" w:hAnsiTheme="minorEastAsia"/>
                <w:color w:val="auto"/>
                <w:sz w:val="20"/>
              </w:rPr>
              <w:t>％</w:t>
            </w:r>
            <w:r>
              <w:rPr>
                <w:rFonts w:hint="eastAsia" w:asciiTheme="minorEastAsia" w:hAnsiTheme="minorEastAsia"/>
                <w:color w:val="auto"/>
                <w:sz w:val="20"/>
              </w:rPr>
              <w:t xml:space="preserve"> </w:t>
            </w:r>
          </w:p>
        </w:tc>
        <w:tc>
          <w:tcPr>
            <w:tcW w:w="99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ordWrap w:val="0"/>
              <w:jc w:val="right"/>
              <w:rPr>
                <w:rFonts w:hint="default" w:asciiTheme="minorEastAsia" w:hAnsiTheme="minorEastAsia"/>
                <w:color w:val="auto"/>
                <w:sz w:val="20"/>
              </w:rPr>
            </w:pPr>
            <w:r>
              <w:rPr>
                <w:rFonts w:hint="eastAsia" w:asciiTheme="minorEastAsia" w:hAnsiTheme="minorEastAsia"/>
                <w:color w:val="auto"/>
                <w:sz w:val="20"/>
              </w:rPr>
              <w:t>事業所</w:t>
            </w:r>
            <w:r>
              <w:rPr>
                <w:rFonts w:hint="eastAsia" w:asciiTheme="minorEastAsia" w:hAnsiTheme="minorEastAsia"/>
                <w:color w:val="auto"/>
                <w:sz w:val="20"/>
              </w:rPr>
              <w:t xml:space="preserve"> </w:t>
            </w:r>
          </w:p>
        </w:tc>
      </w:tr>
      <w:tr>
        <w:trPr>
          <w:trHeight w:val="402"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 w:leftChars="-75" w:hanging="156" w:hangingChars="78"/>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A</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R</w:t>
            </w:r>
            <w:r>
              <w:rPr>
                <w:rFonts w:hint="eastAsia" w:ascii="ＭＳ ゴシック" w:hAnsi="ＭＳ ゴシック" w:eastAsia="ＭＳ ゴシック"/>
                <w:color w:val="auto"/>
                <w:sz w:val="20"/>
              </w:rPr>
              <w:t>　全産業（Ｓ公務を除く）</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5,581</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100.0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w:t>
            </w:r>
            <w:r>
              <w:rPr>
                <w:rFonts w:hint="eastAsia" w:ascii="ＭＳ ゴシック" w:hAnsi="ＭＳ ゴシック" w:eastAsia="ＭＳ ゴシック"/>
                <w:b w:val="0"/>
                <w:i w:val="0"/>
                <w:smallCaps w:val="0"/>
                <w:color w:val="auto"/>
                <w:sz w:val="20"/>
              </w:rPr>
              <w:t xml:space="preserve"> 244</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w:t>
            </w:r>
            <w:r>
              <w:rPr>
                <w:rFonts w:hint="eastAsia" w:ascii="ＭＳ ゴシック" w:hAnsi="ＭＳ ゴシック" w:eastAsia="ＭＳ ゴシック"/>
                <w:b w:val="0"/>
                <w:i w:val="0"/>
                <w:smallCaps w:val="0"/>
                <w:color w:val="auto"/>
                <w:sz w:val="20"/>
              </w:rPr>
              <w:t xml:space="preserve"> 4.2</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5,825</w:t>
            </w:r>
          </w:p>
        </w:tc>
      </w:tr>
      <w:tr>
        <w:trPr>
          <w:trHeight w:val="46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A</w:t>
            </w:r>
            <w:r>
              <w:rPr>
                <w:rFonts w:hint="eastAsia" w:ascii="ＭＳ 明朝" w:hAnsi="ＭＳ 明朝" w:eastAsia="ＭＳ 明朝"/>
                <w:color w:val="auto"/>
                <w:sz w:val="20"/>
              </w:rPr>
              <w:t>　農業，林業（個人経営を除く）</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39</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0.7</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16</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69.6</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23</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B</w:t>
            </w:r>
            <w:r>
              <w:rPr>
                <w:rFonts w:hint="eastAsia" w:ascii="ＭＳ 明朝" w:hAnsi="ＭＳ 明朝" w:eastAsia="ＭＳ 明朝"/>
                <w:color w:val="auto"/>
                <w:sz w:val="20"/>
              </w:rPr>
              <w:t>　漁業（個人経営を除く）</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C</w:t>
            </w:r>
            <w:r>
              <w:rPr>
                <w:rFonts w:hint="eastAsia" w:ascii="ＭＳ 明朝" w:hAnsi="ＭＳ 明朝" w:eastAsia="ＭＳ 明朝"/>
                <w:color w:val="auto"/>
                <w:sz w:val="20"/>
              </w:rPr>
              <w:t>　鉱業，採石業，砂利採取業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D</w:t>
            </w:r>
            <w:r>
              <w:rPr>
                <w:rFonts w:hint="eastAsia" w:ascii="ＭＳ 明朝" w:hAnsi="ＭＳ 明朝" w:eastAsia="ＭＳ 明朝"/>
                <w:color w:val="auto"/>
                <w:sz w:val="20"/>
              </w:rPr>
              <w:t>　建設業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513</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9.2</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44</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7.9</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557</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E</w:t>
            </w:r>
            <w:r>
              <w:rPr>
                <w:rFonts w:hint="eastAsia" w:ascii="ＭＳ 明朝" w:hAnsi="ＭＳ 明朝" w:eastAsia="ＭＳ 明朝"/>
                <w:color w:val="auto"/>
                <w:sz w:val="20"/>
              </w:rPr>
              <w:t>　製造業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1,119</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20.1</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140</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11.1</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1,259</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F</w:t>
            </w:r>
            <w:r>
              <w:rPr>
                <w:rFonts w:hint="eastAsia" w:ascii="ＭＳ 明朝" w:hAnsi="ＭＳ 明朝" w:eastAsia="ＭＳ 明朝"/>
                <w:color w:val="auto"/>
                <w:sz w:val="20"/>
              </w:rPr>
              <w:t>　電気・ガス・熱供給・水道業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9</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0.2</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50.0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G</w:t>
            </w:r>
            <w:r>
              <w:rPr>
                <w:rFonts w:hint="eastAsia" w:ascii="ＭＳ 明朝" w:hAnsi="ＭＳ 明朝" w:eastAsia="ＭＳ 明朝"/>
                <w:color w:val="auto"/>
                <w:sz w:val="20"/>
              </w:rPr>
              <w:t>　情報通信業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38</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0.7</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9</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31.0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29</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H</w:t>
            </w:r>
            <w:r>
              <w:rPr>
                <w:rFonts w:hint="eastAsia" w:ascii="ＭＳ 明朝" w:hAnsi="ＭＳ 明朝" w:eastAsia="ＭＳ 明朝"/>
                <w:color w:val="auto"/>
                <w:sz w:val="20"/>
              </w:rPr>
              <w:t>　運輸業，郵便業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84</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1.5</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10.5</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76</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I</w:t>
            </w:r>
            <w:r>
              <w:rPr>
                <w:rFonts w:hint="eastAsia" w:ascii="ＭＳ 明朝" w:hAnsi="ＭＳ 明朝" w:eastAsia="ＭＳ 明朝"/>
                <w:color w:val="auto"/>
                <w:sz w:val="20"/>
              </w:rPr>
              <w:t>　卸売業，小売業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1,496</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26.8</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139</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8.5</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1,635</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J</w:t>
            </w:r>
            <w:r>
              <w:rPr>
                <w:rFonts w:hint="eastAsia" w:ascii="ＭＳ 明朝" w:hAnsi="ＭＳ 明朝" w:eastAsia="ＭＳ 明朝"/>
                <w:color w:val="auto"/>
                <w:sz w:val="20"/>
              </w:rPr>
              <w:t>　金融業，保険業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88</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1.6</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88</w:t>
            </w:r>
          </w:p>
        </w:tc>
      </w:tr>
      <w:tr>
        <w:trPr>
          <w:trHeight w:val="402"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K</w:t>
            </w:r>
            <w:r>
              <w:rPr>
                <w:rFonts w:hint="eastAsia" w:ascii="ＭＳ 明朝" w:hAnsi="ＭＳ 明朝" w:eastAsia="ＭＳ 明朝"/>
                <w:color w:val="auto"/>
                <w:sz w:val="20"/>
              </w:rPr>
              <w:t>　不動産業，物品賃貸業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244</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4.4</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3.4</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236</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L</w:t>
            </w:r>
            <w:r>
              <w:rPr>
                <w:rFonts w:hint="eastAsia" w:ascii="ＭＳ 明朝" w:hAnsi="ＭＳ 明朝" w:eastAsia="ＭＳ 明朝"/>
                <w:color w:val="auto"/>
                <w:sz w:val="20"/>
              </w:rPr>
              <w:t>　学術研究，専門・技術サービス業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170</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18</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11.8</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152</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M</w:t>
            </w:r>
            <w:r>
              <w:rPr>
                <w:rFonts w:hint="eastAsia" w:ascii="ＭＳ 明朝" w:hAnsi="ＭＳ 明朝" w:eastAsia="ＭＳ 明朝"/>
                <w:color w:val="auto"/>
                <w:sz w:val="20"/>
              </w:rPr>
              <w:t>　宿泊業，飲食サービス業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475</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8.5</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45</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8.7</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520</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N</w:t>
            </w:r>
            <w:r>
              <w:rPr>
                <w:rFonts w:hint="eastAsia" w:ascii="ＭＳ 明朝" w:hAnsi="ＭＳ 明朝" w:eastAsia="ＭＳ 明朝"/>
                <w:color w:val="auto"/>
                <w:sz w:val="20"/>
              </w:rPr>
              <w:t>　生活関連サービス業，娯楽業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482</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8.6</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477</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O</w:t>
            </w:r>
            <w:r>
              <w:rPr>
                <w:rFonts w:hint="eastAsia" w:ascii="ＭＳ 明朝" w:hAnsi="ＭＳ 明朝" w:eastAsia="ＭＳ 明朝"/>
                <w:color w:val="auto"/>
                <w:sz w:val="20"/>
              </w:rPr>
              <w:t>　教育，学習支援業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136</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2.4</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11</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8.8</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125</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P</w:t>
            </w:r>
            <w:r>
              <w:rPr>
                <w:rFonts w:hint="eastAsia" w:ascii="ＭＳ 明朝" w:hAnsi="ＭＳ 明朝" w:eastAsia="ＭＳ 明朝"/>
                <w:color w:val="auto"/>
                <w:sz w:val="20"/>
              </w:rPr>
              <w:t>　医療，福祉</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298</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5.3</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23</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8.4</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275</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Q</w:t>
            </w:r>
            <w:r>
              <w:rPr>
                <w:rFonts w:hint="eastAsia" w:ascii="ＭＳ 明朝" w:hAnsi="ＭＳ 明朝" w:eastAsia="ＭＳ 明朝"/>
                <w:color w:val="auto"/>
                <w:sz w:val="20"/>
              </w:rPr>
              <w:t>　複合サービス事業</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37</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0.7</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3</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 7.5</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40</w:t>
            </w:r>
          </w:p>
        </w:tc>
      </w:tr>
      <w:tr>
        <w:trPr>
          <w:trHeight w:val="403"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ind w:left="211" w:leftChars="8" w:hanging="194" w:hangingChars="97"/>
              <w:jc w:val="both"/>
              <w:rPr>
                <w:rFonts w:hint="default" w:ascii="ＭＳ 明朝" w:hAnsi="ＭＳ 明朝" w:eastAsia="ＭＳ 明朝"/>
                <w:color w:val="auto"/>
                <w:sz w:val="20"/>
              </w:rPr>
            </w:pPr>
            <w:r>
              <w:rPr>
                <w:rFonts w:hint="eastAsia" w:ascii="ＭＳ 明朝" w:hAnsi="ＭＳ 明朝" w:eastAsia="ＭＳ 明朝"/>
                <w:color w:val="auto"/>
                <w:sz w:val="20"/>
              </w:rPr>
              <w:t>R</w:t>
            </w:r>
            <w:r>
              <w:rPr>
                <w:rFonts w:hint="eastAsia" w:ascii="ＭＳ 明朝" w:hAnsi="ＭＳ 明朝" w:eastAsia="ＭＳ 明朝"/>
                <w:color w:val="auto"/>
                <w:sz w:val="20"/>
              </w:rPr>
              <w:t>　サービス業（他に分類されないもの）</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351</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6.3</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26</w:t>
            </w:r>
          </w:p>
        </w:tc>
        <w:tc>
          <w:tcPr>
            <w:tcW w:w="98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8.0</w:t>
            </w:r>
          </w:p>
        </w:tc>
        <w:tc>
          <w:tcPr>
            <w:tcW w:w="99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right="105" w:rightChars="50"/>
              <w:jc w:val="right"/>
              <w:rPr>
                <w:rFonts w:hint="eastAsia" w:ascii="ＭＳ 明朝" w:hAnsi="ＭＳ 明朝" w:eastAsia="ＭＳ 明朝"/>
                <w:b w:val="0"/>
                <w:i w:val="0"/>
                <w:smallCaps w:val="0"/>
                <w:color w:val="auto"/>
                <w:sz w:val="20"/>
              </w:rPr>
            </w:pPr>
            <w:r>
              <w:rPr>
                <w:rFonts w:hint="eastAsia" w:ascii="ＭＳ 明朝" w:hAnsi="ＭＳ 明朝" w:eastAsia="ＭＳ 明朝"/>
                <w:b w:val="0"/>
                <w:i w:val="0"/>
                <w:smallCaps w:val="0"/>
                <w:color w:val="auto"/>
                <w:sz w:val="20"/>
              </w:rPr>
              <w:t>325</w:t>
            </w:r>
          </w:p>
        </w:tc>
      </w:tr>
      <w:tr>
        <w:trPr>
          <w:trHeight w:val="403" w:hRule="atLeast"/>
        </w:trPr>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270" w:type="dxa"/>
              <w:bottom w:w="0" w:type="dxa"/>
              <w:right w:w="0" w:type="dxa"/>
            </w:tcMar>
            <w:vAlign w:val="center"/>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事業内容等不詳を含む民営事業所数</w:t>
            </w:r>
          </w:p>
        </w:tc>
        <w:tc>
          <w:tcPr>
            <w:tcW w:w="99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 xml:space="preserve">5,764 </w:t>
            </w:r>
          </w:p>
        </w:tc>
        <w:tc>
          <w:tcPr>
            <w:tcW w:w="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ordWrap w:val="0"/>
              <w:ind w:rightChars="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 xml:space="preserve"> </w:t>
            </w:r>
          </w:p>
        </w:tc>
        <w:tc>
          <w:tcPr>
            <w:tcW w:w="99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 xml:space="preserve">180 </w:t>
            </w:r>
          </w:p>
        </w:tc>
        <w:tc>
          <w:tcPr>
            <w:tcW w:w="98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 xml:space="preserve"> 3.0 </w:t>
            </w:r>
          </w:p>
        </w:tc>
        <w:tc>
          <w:tcPr>
            <w:tcW w:w="99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 xml:space="preserve">5,944 </w:t>
            </w:r>
          </w:p>
        </w:tc>
      </w:tr>
    </w:tbl>
    <w:p>
      <w:pPr>
        <w:pStyle w:val="0"/>
        <w:ind w:firstLine="120" w:firstLineChars="50"/>
        <w:jc w:val="left"/>
        <w:rPr>
          <w:rFonts w:hint="default" w:ascii="ＭＳ 明朝" w:hAnsi="ＭＳ 明朝" w:eastAsia="ＭＳ 明朝"/>
          <w:color w:val="auto"/>
          <w:sz w:val="20"/>
        </w:rPr>
      </w:pPr>
      <w:r>
        <w:rPr>
          <w:rFonts w:hint="eastAsia" w:ascii="ＭＳ 明朝" w:hAnsi="ＭＳ 明朝" w:eastAsia="ＭＳ 明朝"/>
          <w:color w:val="auto"/>
          <w:sz w:val="20"/>
        </w:rPr>
        <w:t>（注）時系列比較を行う際には留意が必要（「利用上の注意」</w:t>
      </w:r>
      <w:r>
        <w:rPr>
          <w:rFonts w:hint="eastAsia" w:ascii="ＭＳ 明朝" w:hAnsi="ＭＳ 明朝" w:eastAsia="ＭＳ 明朝"/>
          <w:color w:val="auto"/>
          <w:sz w:val="20"/>
        </w:rPr>
        <w:t>11</w:t>
      </w:r>
      <w:r>
        <w:rPr>
          <w:rFonts w:hint="eastAsia" w:ascii="ＭＳ 明朝" w:hAnsi="ＭＳ 明朝" w:eastAsia="ＭＳ 明朝"/>
          <w:color w:val="auto"/>
          <w:sz w:val="20"/>
        </w:rPr>
        <w:t>参照）</w:t>
      </w:r>
    </w:p>
    <w:p>
      <w:pPr>
        <w:pStyle w:val="0"/>
        <w:ind w:firstLine="120" w:firstLineChars="50"/>
        <w:jc w:val="left"/>
        <w:rPr>
          <w:rFonts w:hint="default" w:ascii="ＭＳ 明朝" w:hAnsi="ＭＳ 明朝" w:eastAsia="ＭＳ 明朝"/>
          <w:strike w:val="1"/>
          <w:color w:val="auto"/>
          <w:sz w:val="24"/>
        </w:rPr>
      </w:pPr>
    </w:p>
    <w:p>
      <w:pPr>
        <w:pStyle w:val="0"/>
        <w:ind w:firstLine="120" w:firstLineChars="50"/>
        <w:jc w:val="left"/>
        <w:rPr>
          <w:rFonts w:hint="default" w:ascii="ＭＳ 明朝" w:hAnsi="ＭＳ 明朝" w:eastAsia="ＭＳ 明朝"/>
          <w:strike w:val="1"/>
          <w:color w:val="auto"/>
          <w:sz w:val="24"/>
        </w:rPr>
      </w:pPr>
    </w:p>
    <w:p>
      <w:pPr>
        <w:pStyle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2"/>
        </w:rPr>
        <w:t>表２　産業大分類別従業者数</w:t>
      </w:r>
      <w:r>
        <w:rPr>
          <w:rFonts w:hint="eastAsia" w:ascii="ＭＳ ゴシック" w:hAnsi="ＭＳ ゴシック" w:eastAsia="ＭＳ ゴシック"/>
          <w:color w:val="auto"/>
          <w:sz w:val="24"/>
        </w:rPr>
        <w:t>　　　　　　　　　　　　　　　　　　　　　　　　</w:t>
      </w:r>
    </w:p>
    <w:tbl>
      <w:tblPr>
        <w:tblStyle w:val="11"/>
        <w:tblW w:w="10643" w:type="dxa"/>
        <w:jc w:val="left"/>
        <w:tblInd w:w="-206" w:type="dxa"/>
        <w:tblLayout w:type="fixed"/>
        <w:tblCellMar>
          <w:left w:w="99" w:type="dxa"/>
          <w:right w:w="99" w:type="dxa"/>
        </w:tblCellMar>
        <w:tblLook w:firstRow="1" w:lastRow="0" w:firstColumn="1" w:lastColumn="0" w:noHBand="0" w:noVBand="1" w:val="04A0"/>
      </w:tblPr>
      <w:tblGrid>
        <w:gridCol w:w="3334"/>
        <w:gridCol w:w="812"/>
        <w:gridCol w:w="812"/>
        <w:gridCol w:w="812"/>
        <w:gridCol w:w="813"/>
        <w:gridCol w:w="812"/>
        <w:gridCol w:w="812"/>
        <w:gridCol w:w="812"/>
        <w:gridCol w:w="812"/>
        <w:gridCol w:w="812"/>
      </w:tblGrid>
      <w:tr>
        <w:trPr>
          <w:trHeight w:val="270" w:hRule="atLeast"/>
        </w:trPr>
        <w:tc>
          <w:tcPr>
            <w:tcW w:w="3260" w:type="dxa"/>
            <w:vMerge w:val="restart"/>
            <w:tcBorders>
              <w:top w:val="single" w:color="auto" w:sz="4" w:space="0"/>
              <w:left w:val="single" w:color="auto" w:sz="4" w:space="0"/>
              <w:bottom w:val="single" w:color="000000" w:sz="4" w:space="0"/>
              <w:right w:val="single" w:color="auto" w:sz="4" w:space="0"/>
              <w:tl2br w:val="single" w:color="auto" w:sz="4"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　　　　　　　　　　　　　区分　</w:t>
            </w:r>
          </w:p>
          <w:p>
            <w:pPr>
              <w:pStyle w:val="0"/>
              <w:widowControl w:val="1"/>
              <w:jc w:val="left"/>
              <w:rPr>
                <w:rFonts w:hint="default" w:ascii="ＭＳ 明朝" w:hAnsi="ＭＳ 明朝" w:eastAsia="ＭＳ 明朝"/>
                <w:color w:val="auto"/>
                <w:kern w:val="0"/>
                <w:sz w:val="20"/>
              </w:rPr>
            </w:pPr>
          </w:p>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産業大分類別　　　　　　　　　　　　　　　</w:t>
            </w:r>
          </w:p>
        </w:tc>
        <w:tc>
          <w:tcPr>
            <w:tcW w:w="794"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rPr>
            </w:pPr>
            <w:r>
              <w:rPr>
                <w:rFonts w:hint="eastAsia" w:ascii="ＭＳ 明朝" w:hAnsi="ＭＳ 明朝" w:eastAsia="ＭＳ 明朝"/>
                <w:color w:val="auto"/>
                <w:kern w:val="0"/>
                <w:sz w:val="20"/>
              </w:rPr>
              <w:t>令和</w:t>
            </w:r>
          </w:p>
          <w:p>
            <w:pPr>
              <w:pStyle w:val="0"/>
              <w:widowControl w:val="1"/>
              <w:jc w:val="center"/>
              <w:rPr>
                <w:rFonts w:hint="default" w:ascii="ＭＳ Ｐゴシック" w:hAnsi="ＭＳ Ｐゴシック" w:eastAsia="ＭＳ Ｐゴシック"/>
                <w:color w:val="auto"/>
                <w:kern w:val="0"/>
                <w:sz w:val="20"/>
              </w:rPr>
            </w:pPr>
            <w:r>
              <w:rPr>
                <w:rFonts w:hint="eastAsia" w:ascii="ＭＳ 明朝" w:hAnsi="ＭＳ 明朝" w:eastAsia="ＭＳ 明朝"/>
                <w:color w:val="auto"/>
                <w:kern w:val="0"/>
                <w:sz w:val="20"/>
              </w:rPr>
              <w:t>３年</w:t>
            </w:r>
          </w:p>
        </w:tc>
        <w:tc>
          <w:tcPr>
            <w:tcW w:w="79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w:t>
            </w:r>
          </w:p>
        </w:tc>
        <w:tc>
          <w:tcPr>
            <w:tcW w:w="79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w:t>
            </w:r>
          </w:p>
        </w:tc>
        <w:tc>
          <w:tcPr>
            <w:tcW w:w="79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w:t>
            </w:r>
          </w:p>
        </w:tc>
        <w:tc>
          <w:tcPr>
            <w:tcW w:w="79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w:t>
            </w:r>
          </w:p>
        </w:tc>
        <w:tc>
          <w:tcPr>
            <w:tcW w:w="79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auto"/>
                <w:kern w:val="0"/>
                <w:sz w:val="20"/>
              </w:rPr>
            </w:pPr>
          </w:p>
        </w:tc>
        <w:tc>
          <w:tcPr>
            <w:tcW w:w="79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auto"/>
                <w:kern w:val="0"/>
                <w:sz w:val="20"/>
              </w:rPr>
            </w:pP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　</w:t>
            </w:r>
          </w:p>
        </w:tc>
        <w:tc>
          <w:tcPr>
            <w:tcW w:w="794"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【参考値】</w:t>
            </w:r>
            <w:r>
              <w:rPr>
                <w:rFonts w:hint="eastAsia" w:ascii="ＭＳ 明朝" w:hAnsi="ＭＳ 明朝" w:eastAsia="ＭＳ 明朝"/>
                <w:color w:val="auto"/>
                <w:kern w:val="0"/>
                <w:sz w:val="16"/>
              </w:rPr>
              <w:t>　　</w:t>
            </w:r>
            <w:r>
              <w:rPr>
                <w:rFonts w:hint="eastAsia" w:ascii="ＭＳ 明朝" w:hAnsi="ＭＳ 明朝" w:eastAsia="ＭＳ 明朝"/>
                <w:color w:val="auto"/>
                <w:kern w:val="0"/>
                <w:sz w:val="20"/>
              </w:rPr>
              <w:t>平成</w:t>
            </w:r>
            <w:r>
              <w:rPr>
                <w:rFonts w:hint="eastAsia" w:ascii="ＭＳ 明朝" w:hAnsi="ＭＳ 明朝" w:eastAsia="ＭＳ 明朝"/>
                <w:color w:val="auto"/>
                <w:kern w:val="0"/>
                <w:sz w:val="20"/>
              </w:rPr>
              <w:br w:type="textWrapping" w:clear="none"/>
            </w:r>
            <w:r>
              <w:rPr>
                <w:rFonts w:hint="eastAsia" w:ascii="ＭＳ 明朝" w:hAnsi="ＭＳ 明朝" w:eastAsia="ＭＳ 明朝"/>
                <w:color w:val="auto"/>
                <w:kern w:val="0"/>
                <w:sz w:val="20"/>
              </w:rPr>
              <w:t>28</w:t>
            </w:r>
            <w:r>
              <w:rPr>
                <w:rFonts w:hint="eastAsia" w:ascii="ＭＳ 明朝" w:hAnsi="ＭＳ 明朝" w:eastAsia="ＭＳ 明朝"/>
                <w:color w:val="auto"/>
                <w:kern w:val="0"/>
                <w:sz w:val="20"/>
              </w:rPr>
              <w:t>年</w:t>
            </w:r>
          </w:p>
        </w:tc>
      </w:tr>
      <w:tr>
        <w:trPr>
          <w:trHeight w:val="270" w:hRule="atLeast"/>
        </w:trPr>
        <w:tc>
          <w:tcPr>
            <w:tcW w:w="326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794"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794"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構成比</w:t>
            </w:r>
          </w:p>
        </w:tc>
        <w:tc>
          <w:tcPr>
            <w:tcW w:w="7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増減数</w:t>
            </w:r>
          </w:p>
        </w:tc>
        <w:tc>
          <w:tcPr>
            <w:tcW w:w="794"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増減率</w:t>
            </w:r>
          </w:p>
        </w:tc>
        <w:tc>
          <w:tcPr>
            <w:tcW w:w="794" w:type="dxa"/>
            <w:gridSpan w:val="2"/>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男</w:t>
            </w:r>
          </w:p>
        </w:tc>
        <w:tc>
          <w:tcPr>
            <w:tcW w:w="794" w:type="dxa"/>
            <w:gridSpan w:val="2"/>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女</w:t>
            </w:r>
          </w:p>
        </w:tc>
        <w:tc>
          <w:tcPr>
            <w:tcW w:w="794"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r>
      <w:tr>
        <w:trPr>
          <w:trHeight w:val="270" w:hRule="atLeast"/>
        </w:trPr>
        <w:tc>
          <w:tcPr>
            <w:tcW w:w="326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794"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794"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kern w:val="0"/>
                <w:sz w:val="20"/>
              </w:rPr>
            </w:pPr>
          </w:p>
        </w:tc>
        <w:tc>
          <w:tcPr>
            <w:tcW w:w="79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kern w:val="0"/>
                <w:sz w:val="20"/>
              </w:rPr>
            </w:pPr>
          </w:p>
        </w:tc>
        <w:tc>
          <w:tcPr>
            <w:tcW w:w="79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kern w:val="0"/>
                <w:sz w:val="20"/>
              </w:rPr>
            </w:pP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Century" w:hAnsi="Century" w:eastAsia="ＭＳ Ｐゴシック"/>
                <w:color w:val="auto"/>
                <w:kern w:val="0"/>
                <w:sz w:val="20"/>
              </w:rPr>
            </w:pPr>
            <w:r>
              <w:rPr>
                <w:rFonts w:hint="default" w:ascii="Century" w:hAnsi="Century" w:eastAsia="ＭＳ Ｐゴシック"/>
                <w:color w:val="auto"/>
                <w:kern w:val="0"/>
                <w:sz w:val="20"/>
              </w:rPr>
              <w:t>　</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男女比</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Century" w:hAnsi="Century" w:eastAsia="ＭＳ Ｐゴシック"/>
                <w:color w:val="auto"/>
                <w:kern w:val="0"/>
                <w:sz w:val="20"/>
              </w:rPr>
            </w:pPr>
            <w:r>
              <w:rPr>
                <w:rFonts w:hint="default" w:ascii="Century" w:hAnsi="Century" w:eastAsia="ＭＳ Ｐゴシック"/>
                <w:color w:val="auto"/>
                <w:kern w:val="0"/>
                <w:sz w:val="20"/>
              </w:rPr>
              <w:t>　</w:t>
            </w:r>
          </w:p>
        </w:tc>
        <w:tc>
          <w:tcPr>
            <w:tcW w:w="7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男女比</w:t>
            </w:r>
          </w:p>
        </w:tc>
        <w:tc>
          <w:tcPr>
            <w:tcW w:w="794"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r>
      <w:tr>
        <w:trPr>
          <w:trHeight w:val="397" w:hRule="atLeast"/>
        </w:trPr>
        <w:tc>
          <w:tcPr>
            <w:tcW w:w="326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Century" w:hAnsi="Century" w:eastAsia="ＭＳ Ｐゴシック"/>
                <w:color w:val="auto"/>
                <w:kern w:val="0"/>
                <w:sz w:val="20"/>
              </w:rPr>
            </w:pPr>
            <w:r>
              <w:rPr>
                <w:rFonts w:hint="default" w:ascii="Century" w:hAnsi="Century" w:eastAsia="ＭＳ Ｐゴシック"/>
                <w:color w:val="auto"/>
                <w:kern w:val="0"/>
                <w:sz w:val="20"/>
              </w:rPr>
              <w:t>　</w:t>
            </w:r>
          </w:p>
        </w:tc>
        <w:tc>
          <w:tcPr>
            <w:tcW w:w="79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人</w:t>
            </w:r>
          </w:p>
        </w:tc>
        <w:tc>
          <w:tcPr>
            <w:tcW w:w="79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p>
        </w:tc>
        <w:tc>
          <w:tcPr>
            <w:tcW w:w="79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auto"/>
              <w:jc w:val="righ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人</w:t>
            </w:r>
          </w:p>
        </w:tc>
        <w:tc>
          <w:tcPr>
            <w:tcW w:w="79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p>
        </w:tc>
        <w:tc>
          <w:tcPr>
            <w:tcW w:w="79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人</w:t>
            </w:r>
          </w:p>
        </w:tc>
        <w:tc>
          <w:tcPr>
            <w:tcW w:w="79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p>
        </w:tc>
        <w:tc>
          <w:tcPr>
            <w:tcW w:w="79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人</w:t>
            </w:r>
          </w:p>
        </w:tc>
        <w:tc>
          <w:tcPr>
            <w:tcW w:w="79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0"/>
              </w:rPr>
            </w:pPr>
            <w:r>
              <w:rPr>
                <w:rFonts w:hint="eastAsia" w:ascii="ＭＳ 明朝" w:hAnsi="ＭＳ 明朝" w:eastAsia="ＭＳ 明朝"/>
                <w:color w:val="auto"/>
                <w:kern w:val="0"/>
                <w:sz w:val="20"/>
              </w:rPr>
              <w:t>％</w:t>
            </w:r>
          </w:p>
        </w:tc>
        <w:tc>
          <w:tcPr>
            <w:tcW w:w="79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人</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Chars="0" w:firstLine="0" w:firstLineChars="0"/>
              <w:jc w:val="left"/>
              <w:rPr>
                <w:rFonts w:hint="default" w:ascii="ＭＳ ゴシック" w:hAnsi="ＭＳ ゴシック" w:eastAsia="ＭＳ ゴシック"/>
                <w:color w:val="auto"/>
                <w:kern w:val="0"/>
                <w:sz w:val="20"/>
              </w:rPr>
            </w:pPr>
            <w:r>
              <w:rPr>
                <w:rFonts w:hint="eastAsia" w:ascii="ＭＳ ゴシック" w:hAnsi="ＭＳ ゴシック" w:eastAsia="ＭＳ ゴシック"/>
                <w:color w:val="auto"/>
                <w:kern w:val="0"/>
                <w:sz w:val="20"/>
              </w:rPr>
              <w:t>A</w:t>
            </w:r>
            <w:r>
              <w:rPr>
                <w:rFonts w:hint="eastAsia" w:ascii="ＭＳ ゴシック" w:hAnsi="ＭＳ ゴシック" w:eastAsia="ＭＳ ゴシック"/>
                <w:color w:val="auto"/>
                <w:kern w:val="0"/>
                <w:sz w:val="20"/>
              </w:rPr>
              <w:t>～</w:t>
            </w:r>
            <w:r>
              <w:rPr>
                <w:rFonts w:hint="eastAsia" w:ascii="ＭＳ ゴシック" w:hAnsi="ＭＳ ゴシック" w:eastAsia="ＭＳ ゴシック"/>
                <w:color w:val="auto"/>
                <w:kern w:val="0"/>
                <w:sz w:val="20"/>
              </w:rPr>
              <w:t>R</w:t>
            </w:r>
            <w:r>
              <w:rPr>
                <w:rFonts w:hint="eastAsia" w:ascii="ＭＳ ゴシック" w:hAnsi="ＭＳ ゴシック" w:eastAsia="ＭＳ ゴシック"/>
                <w:color w:val="auto"/>
                <w:kern w:val="0"/>
                <w:sz w:val="20"/>
              </w:rPr>
              <w:t>　全産業（Ｓ公務を除く）</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51,655</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 xml:space="preserve">100.0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830</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 xml:space="preserve">1.6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28,840</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 xml:space="preserve">55.8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21,773</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 xml:space="preserve">42.2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50,825</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499" w:leftChars="95" w:hanging="300" w:hangingChars="15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A</w:t>
            </w:r>
            <w:r>
              <w:rPr>
                <w:rFonts w:hint="eastAsia" w:ascii="ＭＳ 明朝" w:hAnsi="ＭＳ 明朝" w:eastAsia="ＭＳ 明朝"/>
                <w:color w:val="auto"/>
                <w:kern w:val="0"/>
                <w:sz w:val="20"/>
              </w:rPr>
              <w:t>　農業，林業（個人経営を除く）</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603</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1.2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344</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132.8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541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89.7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62</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10.3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259</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B</w:t>
            </w:r>
            <w:r>
              <w:rPr>
                <w:rFonts w:hint="eastAsia" w:ascii="ＭＳ 明朝" w:hAnsi="ＭＳ 明朝" w:eastAsia="ＭＳ 明朝"/>
                <w:color w:val="auto"/>
                <w:kern w:val="0"/>
                <w:sz w:val="20"/>
              </w:rPr>
              <w:t>　漁業（個人経営を除く）</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18</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0.0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5.3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94.4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19</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C</w:t>
            </w:r>
            <w:r>
              <w:rPr>
                <w:rFonts w:hint="eastAsia" w:ascii="ＭＳ 明朝" w:hAnsi="ＭＳ 明朝" w:eastAsia="ＭＳ 明朝"/>
                <w:color w:val="auto"/>
                <w:kern w:val="0"/>
                <w:sz w:val="20"/>
              </w:rPr>
              <w:t>　鉱業，採石業，砂利採取業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0.0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0.0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100.0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0.0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D</w:t>
            </w:r>
            <w:r>
              <w:rPr>
                <w:rFonts w:hint="eastAsia" w:ascii="ＭＳ 明朝" w:hAnsi="ＭＳ 明朝" w:eastAsia="ＭＳ 明朝"/>
                <w:color w:val="auto"/>
                <w:kern w:val="0"/>
                <w:sz w:val="20"/>
              </w:rPr>
              <w:t>　建設業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3,047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5.9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302</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9.0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2,460</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80.7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587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19.3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3,349</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E</w:t>
            </w:r>
            <w:r>
              <w:rPr>
                <w:rFonts w:hint="eastAsia" w:ascii="ＭＳ 明朝" w:hAnsi="ＭＳ 明朝" w:eastAsia="ＭＳ 明朝"/>
                <w:color w:val="auto"/>
                <w:kern w:val="0"/>
                <w:sz w:val="20"/>
              </w:rPr>
              <w:t>　製造業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15,796</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30.6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424</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2.8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10,527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66.6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5,269</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33.4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15,372</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F</w:t>
            </w:r>
            <w:r>
              <w:rPr>
                <w:rFonts w:hint="eastAsia" w:ascii="ＭＳ 明朝" w:hAnsi="ＭＳ 明朝" w:eastAsia="ＭＳ 明朝"/>
                <w:color w:val="auto"/>
                <w:kern w:val="0"/>
                <w:sz w:val="20"/>
              </w:rPr>
              <w:t>　電気・ガス・熱供給・水道業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148</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0.3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14</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8.6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133</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89.9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15</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10.1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162</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G</w:t>
            </w:r>
            <w:r>
              <w:rPr>
                <w:rFonts w:hint="eastAsia" w:ascii="ＭＳ 明朝" w:hAnsi="ＭＳ 明朝" w:eastAsia="ＭＳ 明朝"/>
                <w:color w:val="auto"/>
                <w:kern w:val="0"/>
                <w:sz w:val="20"/>
              </w:rPr>
              <w:t>　情報通信業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259</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0.5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56</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27.6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186</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71.8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73</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28.2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203</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H</w:t>
            </w:r>
            <w:r>
              <w:rPr>
                <w:rFonts w:hint="eastAsia" w:ascii="ＭＳ 明朝" w:hAnsi="ＭＳ 明朝" w:eastAsia="ＭＳ 明朝"/>
                <w:color w:val="auto"/>
                <w:kern w:val="0"/>
                <w:sz w:val="20"/>
              </w:rPr>
              <w:t>　運輸業，郵便業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2,077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4.0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409</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24.5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1,730</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83.3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347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16.7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1,668</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I</w:t>
            </w:r>
            <w:r>
              <w:rPr>
                <w:rFonts w:hint="eastAsia" w:ascii="ＭＳ 明朝" w:hAnsi="ＭＳ 明朝" w:eastAsia="ＭＳ 明朝"/>
                <w:color w:val="auto"/>
                <w:kern w:val="0"/>
                <w:sz w:val="20"/>
              </w:rPr>
              <w:t>　卸売業，小売業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12,700</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24.6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338</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2.6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6,552</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51.6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6,081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47.9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13,038</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J</w:t>
            </w:r>
            <w:r>
              <w:rPr>
                <w:rFonts w:hint="eastAsia" w:ascii="ＭＳ 明朝" w:hAnsi="ＭＳ 明朝" w:eastAsia="ＭＳ 明朝"/>
                <w:color w:val="auto"/>
                <w:kern w:val="0"/>
                <w:sz w:val="20"/>
              </w:rPr>
              <w:t>　金融業，保険業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963</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1.9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71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6.9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429</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44.5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523</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54.3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1,034</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K</w:t>
            </w:r>
            <w:r>
              <w:rPr>
                <w:rFonts w:hint="eastAsia" w:ascii="ＭＳ 明朝" w:hAnsi="ＭＳ 明朝" w:eastAsia="ＭＳ 明朝"/>
                <w:color w:val="auto"/>
                <w:kern w:val="0"/>
                <w:sz w:val="20"/>
              </w:rPr>
              <w:t>　不動産業，物品賃貸業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652</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1.3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10</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1.5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348</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53.4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304</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46.6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662</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02" w:leftChars="96" w:hanging="300" w:hangingChars="15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L</w:t>
            </w:r>
            <w:r>
              <w:rPr>
                <w:rFonts w:hint="eastAsia" w:ascii="ＭＳ 明朝" w:hAnsi="ＭＳ 明朝" w:eastAsia="ＭＳ 明朝"/>
                <w:color w:val="auto"/>
                <w:kern w:val="0"/>
                <w:sz w:val="20"/>
              </w:rPr>
              <w:t>　学術研究，専門・技術サービス業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768</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1.5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24</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3.2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397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51.7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371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48.3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744</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M</w:t>
            </w:r>
            <w:r>
              <w:rPr>
                <w:rFonts w:hint="eastAsia" w:ascii="ＭＳ 明朝" w:hAnsi="ＭＳ 明朝" w:eastAsia="ＭＳ 明朝"/>
                <w:color w:val="auto"/>
                <w:kern w:val="0"/>
                <w:sz w:val="20"/>
              </w:rPr>
              <w:t>　宿泊業，飲食サービス業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3,217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6.2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178</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5.9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1,369</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42.6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1,768</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55.0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3,039</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N</w:t>
            </w:r>
            <w:r>
              <w:rPr>
                <w:rFonts w:hint="eastAsia" w:ascii="ＭＳ 明朝" w:hAnsi="ＭＳ 明朝" w:eastAsia="ＭＳ 明朝"/>
                <w:color w:val="auto"/>
                <w:kern w:val="0"/>
                <w:sz w:val="20"/>
              </w:rPr>
              <w:t>　生活関連サービス業，娯楽業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1,813</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3.5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224</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11.0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797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44.0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1,016</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56.0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2,037</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O</w:t>
            </w:r>
            <w:r>
              <w:rPr>
                <w:rFonts w:hint="eastAsia" w:ascii="ＭＳ 明朝" w:hAnsi="ＭＳ 明朝" w:eastAsia="ＭＳ 明朝"/>
                <w:color w:val="auto"/>
                <w:kern w:val="0"/>
                <w:sz w:val="20"/>
              </w:rPr>
              <w:t>　教育，学習支援業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726</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1.4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216</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42.4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341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47.0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385</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53.0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510</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P</w:t>
            </w:r>
            <w:r>
              <w:rPr>
                <w:rFonts w:hint="eastAsia" w:ascii="ＭＳ 明朝" w:hAnsi="ＭＳ 明朝" w:eastAsia="ＭＳ 明朝"/>
                <w:color w:val="auto"/>
                <w:kern w:val="0"/>
                <w:sz w:val="20"/>
              </w:rPr>
              <w:t>　医療，福祉</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5,863</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11.4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484</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9.0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1,381</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23.6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3,907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66.6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5,379</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00" w:firstLineChars="10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Q</w:t>
            </w:r>
            <w:r>
              <w:rPr>
                <w:rFonts w:hint="eastAsia" w:ascii="ＭＳ 明朝" w:hAnsi="ＭＳ 明朝" w:eastAsia="ＭＳ 明朝"/>
                <w:color w:val="auto"/>
                <w:kern w:val="0"/>
                <w:sz w:val="20"/>
              </w:rPr>
              <w:t>　複合サービス事業</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397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0.8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318</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44.5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245</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61.7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152</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38.3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715</w:t>
            </w:r>
          </w:p>
        </w:tc>
      </w:tr>
      <w:tr>
        <w:trPr>
          <w:trHeight w:val="397" w:hRule="atLeast"/>
        </w:trPr>
        <w:tc>
          <w:tcPr>
            <w:tcW w:w="32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502" w:leftChars="96" w:hanging="300" w:hangingChars="15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R</w:t>
            </w:r>
            <w:r>
              <w:rPr>
                <w:rFonts w:hint="eastAsia" w:ascii="ＭＳ 明朝" w:hAnsi="ＭＳ 明朝" w:eastAsia="ＭＳ 明朝"/>
                <w:color w:val="auto"/>
                <w:kern w:val="0"/>
                <w:sz w:val="20"/>
              </w:rPr>
              <w:t>　サービス業（他に分類されないもの）</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2,607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27</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r>
              <w:rPr>
                <w:rFonts w:hint="eastAsia" w:asciiTheme="minorEastAsia" w:hAnsiTheme="minorEastAsia" w:eastAsiaTheme="minorEastAsia"/>
                <w:b w:val="0"/>
                <w:i w:val="0"/>
                <w:smallCaps w:val="0"/>
                <w:color w:val="auto"/>
                <w:sz w:val="20"/>
              </w:rPr>
              <w:t xml:space="preserve">1.0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1,386</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53.2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912</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 xml:space="preserve">35.0 </w:t>
            </w:r>
          </w:p>
        </w:tc>
        <w:tc>
          <w:tcPr>
            <w:tcW w:w="7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2,634</w:t>
            </w:r>
          </w:p>
        </w:tc>
      </w:tr>
    </w:tbl>
    <w:p>
      <w:pPr>
        <w:pStyle w:val="0"/>
        <w:ind w:left="-2" w:leftChars="-79" w:hanging="164" w:hangingChars="82"/>
        <w:jc w:val="left"/>
        <w:rPr>
          <w:rFonts w:hint="default" w:asciiTheme="minorEastAsia" w:hAnsiTheme="minorEastAsia"/>
          <w:color w:val="auto"/>
          <w:sz w:val="16"/>
        </w:rPr>
      </w:pPr>
      <w:r>
        <w:rPr>
          <w:rFonts w:hint="eastAsia" w:ascii="ＭＳ 明朝" w:hAnsi="ＭＳ 明朝" w:eastAsia="ＭＳ 明朝"/>
          <w:color w:val="auto"/>
          <w:sz w:val="20"/>
        </w:rPr>
        <w:t>（注）「従業者数」は、男女の別不詳を含む。</w:t>
      </w:r>
    </w:p>
    <w:p>
      <w:pPr>
        <w:pStyle w:val="0"/>
        <w:ind w:left="-2" w:leftChars="-79" w:hanging="164" w:hangingChars="82"/>
        <w:jc w:val="left"/>
        <w:rPr>
          <w:rFonts w:hint="default" w:asciiTheme="minorEastAsia" w:hAnsiTheme="minorEastAsia"/>
          <w:color w:val="auto"/>
          <w:sz w:val="20"/>
        </w:rPr>
      </w:pPr>
      <w:r>
        <w:rPr>
          <w:rFonts w:hint="eastAsia" w:ascii="ＭＳ 明朝" w:hAnsi="ＭＳ 明朝" w:eastAsia="ＭＳ 明朝"/>
          <w:color w:val="auto"/>
          <w:sz w:val="20"/>
        </w:rPr>
        <w:t>（注）時系列比較を行う際には留意が必要（「利用上の注意」</w:t>
      </w:r>
      <w:r>
        <w:rPr>
          <w:rFonts w:hint="eastAsia" w:ascii="ＭＳ 明朝" w:hAnsi="ＭＳ 明朝" w:eastAsia="ＭＳ 明朝"/>
          <w:color w:val="auto"/>
          <w:sz w:val="20"/>
        </w:rPr>
        <w:t>11</w:t>
      </w:r>
      <w:r>
        <w:rPr>
          <w:rFonts w:hint="eastAsia" w:ascii="ＭＳ 明朝" w:hAnsi="ＭＳ 明朝" w:eastAsia="ＭＳ 明朝"/>
          <w:color w:val="auto"/>
          <w:sz w:val="20"/>
        </w:rPr>
        <w:t>参照）</w:t>
      </w:r>
    </w:p>
    <w:p>
      <w:pPr>
        <w:pStyle w:val="0"/>
        <w:ind w:left="228" w:leftChars="-77" w:hanging="390" w:hangingChars="195"/>
        <w:jc w:val="left"/>
        <w:rPr>
          <w:rFonts w:hint="default" w:asciiTheme="minorEastAsia" w:hAnsiTheme="minorEastAsia"/>
          <w:color w:val="auto"/>
          <w:sz w:val="20"/>
        </w:rPr>
      </w:pPr>
      <w:r>
        <w:rPr>
          <w:rFonts w:hint="eastAsia" w:ascii="ＭＳ 明朝" w:hAnsi="ＭＳ 明朝" w:eastAsia="ＭＳ 明朝"/>
          <w:color w:val="auto"/>
          <w:sz w:val="20"/>
        </w:rPr>
        <w:t>（注）男女比の割合は、男女の別不詳の就業者を含む総数に対して算出しているため、合計が</w:t>
      </w:r>
      <w:r>
        <w:rPr>
          <w:rFonts w:hint="eastAsia" w:ascii="ＭＳ 明朝" w:hAnsi="ＭＳ 明朝" w:eastAsia="ＭＳ 明朝"/>
          <w:color w:val="auto"/>
          <w:sz w:val="20"/>
        </w:rPr>
        <w:t>100.0</w:t>
      </w:r>
      <w:r>
        <w:rPr>
          <w:rFonts w:hint="eastAsia" w:ascii="ＭＳ 明朝" w:hAnsi="ＭＳ 明朝" w:eastAsia="ＭＳ 明朝"/>
          <w:color w:val="auto"/>
          <w:sz w:val="20"/>
        </w:rPr>
        <w:t>％にならないことに留意</w:t>
      </w:r>
    </w:p>
    <w:p>
      <w:pPr>
        <w:pStyle w:val="0"/>
        <w:ind w:left="-2" w:leftChars="-79" w:hanging="164" w:hangingChars="82"/>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ajorEastAsia" w:hAnsiTheme="majorEastAsia" w:eastAsiaTheme="majorEastAsia"/>
          <w:color w:val="auto"/>
          <w:sz w:val="24"/>
        </w:rPr>
      </w:pPr>
    </w:p>
    <w:p>
      <w:pPr>
        <w:pStyle w:val="0"/>
        <w:jc w:val="left"/>
        <w:rPr>
          <w:rFonts w:hint="default" w:asciiTheme="majorEastAsia" w:hAnsiTheme="majorEastAsia" w:eastAsiaTheme="majorEastAsia"/>
          <w:color w:val="auto"/>
          <w:sz w:val="24"/>
        </w:rPr>
      </w:pPr>
      <w:r>
        <w:rPr>
          <w:rFonts w:hint="eastAsia" w:asciiTheme="majorEastAsia" w:hAnsiTheme="majorEastAsia" w:eastAsiaTheme="majorEastAsia"/>
          <w:color w:val="auto"/>
          <w:sz w:val="22"/>
        </w:rPr>
        <w:t>図１　民営事業所数の産業大分類別構成比（※事業内容等不詳を除く）</w:t>
      </w:r>
    </w:p>
    <w:p>
      <w:pPr>
        <w:pStyle w:val="0"/>
        <w:rPr>
          <w:rFonts w:hint="default" w:ascii="ＭＳ 明朝" w:hAnsi="ＭＳ 明朝" w:eastAsia="ＭＳ 明朝"/>
          <w:color w:val="auto"/>
          <w:sz w:val="20"/>
        </w:rPr>
      </w:pPr>
      <w:r>
        <w:rPr>
          <w:rFonts w:hint="eastAsia" w:ascii="ＭＳ 明朝" w:hAnsi="ＭＳ 明朝" w:eastAsia="ＭＳ 明朝"/>
          <w:color w:val="auto"/>
          <w:sz w:val="20"/>
        </w:rPr>
        <w:t>　　　　</w:t>
      </w:r>
    </w:p>
    <w:p>
      <w:pPr>
        <w:pStyle w:val="0"/>
        <w:rPr>
          <w:rFonts w:hint="default" w:ascii="ＭＳ 明朝" w:hAnsi="ＭＳ 明朝" w:eastAsia="ＭＳ 明朝"/>
          <w:color w:val="auto"/>
          <w:sz w:val="20"/>
        </w:rPr>
      </w:pPr>
      <w:r>
        <w:rPr>
          <w:rFonts w:hint="eastAsia"/>
          <w:color w:val="auto"/>
        </w:rPr>
        <w:drawing>
          <wp:anchor simplePos="0" relativeHeight="2" behindDoc="0" locked="0" layoutInCell="1" hidden="0" allowOverlap="1">
            <wp:simplePos x="0" y="0"/>
            <wp:positionH relativeFrom="page">
              <wp:posOffset>1105535</wp:posOffset>
            </wp:positionH>
            <wp:positionV relativeFrom="page">
              <wp:posOffset>1219835</wp:posOffset>
            </wp:positionV>
            <wp:extent cx="4965700" cy="3683000"/>
            <wp:effectExtent l="0" t="0" r="0" b="0"/>
            <wp:wrapNone/>
            <wp:docPr id="1026" name="オブジェクト 0"/>
            <a:graphic xmlns:a="http://schemas.openxmlformats.org/drawingml/2006/main">
              <a:graphicData uri="http://schemas.openxmlformats.org/drawingml/2006/chart">
                <c:chart xmlns:c="http://schemas.openxmlformats.org/drawingml/2006/chart" r:id="rId6"/>
              </a:graphicData>
            </a:graphic>
          </wp:anchor>
        </w:drawing>
      </w: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r>
        <w:rPr>
          <w:rFonts w:hint="eastAsia"/>
          <w:color w:val="auto"/>
        </w:rPr>
        <w:pict>
          <v:shapetype id="_x0000_t202" coordsize="21600,21600" o:spt="202" path="m,l,21600r21600,l21600,xe">
            <v:stroke joinstyle="miter"/>
            <v:path gradientshapeok="t" o:connecttype="rect"/>
          </v:shapetype>
          <v:shape id="_x0000_s1027" style="mso-position-vertical-relative:text;z-index:5;mso-wrap-distance-left:16pt;width:52.5pt;height:50.5pt;mso-position-horizontal-relative:text;position:absolute;margin-left:212.1pt;margin-top:16.100000000000001pt;mso-wrap-distance-bottom:0pt;mso-wrap-distance-right:16pt;mso-wrap-distance-top:0pt;" o:allowincell="t" o:allowoverlap="t" filled="t" stroked="f" strokecolor="#ffffff" o:spt="202" type="#_x0000_t202">
            <v:fill/>
            <v:stroke opacity="65536f" joinstyle="miter"/>
            <v:textbox style="layout-flow:horizontal;" inset="2.0637499999999998mm,0.24694444444444438mm,2.0637499999999998mm,0.24694444444444438mm">
              <w:txbxContent>
                <w:p>
                  <w:pPr>
                    <w:pStyle w:val="0"/>
                    <w:ind w:leftChars="0" w:firstLine="0" w:firstLineChars="0"/>
                    <w:jc w:val="center"/>
                    <w:rPr>
                      <w:rFonts w:hint="eastAsia" w:ascii="ＭＳ 明朝" w:hAnsi="ＭＳ 明朝" w:eastAsia="ＭＳ 明朝"/>
                      <w:sz w:val="20"/>
                    </w:rPr>
                  </w:pPr>
                  <w:r>
                    <w:rPr>
                      <w:rFonts w:hint="eastAsia" w:ascii="ＭＳ 明朝" w:hAnsi="ＭＳ 明朝" w:eastAsia="ＭＳ 明朝"/>
                      <w:sz w:val="20"/>
                    </w:rPr>
                    <w:t>事業所数</w:t>
                  </w:r>
                </w:p>
                <w:p>
                  <w:pPr>
                    <w:pStyle w:val="0"/>
                    <w:ind w:left="0" w:leftChars="0" w:firstLineChars="0"/>
                    <w:jc w:val="center"/>
                    <w:rPr>
                      <w:rFonts w:hint="eastAsia"/>
                    </w:rPr>
                  </w:pPr>
                  <w:r>
                    <w:rPr>
                      <w:rFonts w:hint="eastAsia" w:ascii="ＭＳ 明朝" w:hAnsi="ＭＳ 明朝" w:eastAsia="ＭＳ 明朝"/>
                      <w:sz w:val="20"/>
                    </w:rPr>
                    <w:t>5,581</w:t>
                  </w:r>
                </w:p>
                <w:p>
                  <w:pPr>
                    <w:pStyle w:val="0"/>
                    <w:ind w:leftChars="0" w:firstLine="0" w:firstLineChars="0"/>
                    <w:jc w:val="center"/>
                    <w:rPr>
                      <w:rFonts w:hint="eastAsia"/>
                    </w:rPr>
                  </w:pPr>
                  <w:r>
                    <w:rPr>
                      <w:rFonts w:hint="eastAsia" w:ascii="ＭＳ 明朝" w:hAnsi="ＭＳ 明朝" w:eastAsia="ＭＳ 明朝"/>
                    </w:rPr>
                    <w:t>事業所</w:t>
                  </w:r>
                </w:p>
              </w:txbxContent>
            </v:textbox>
            <v:imagedata o:title=""/>
            <w10:wrap type="none" anchorx="text" anchory="text"/>
          </v:shape>
        </w:pict>
      </w: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Theme="majorEastAsia" w:hAnsiTheme="majorEastAsia" w:eastAsiaTheme="majorEastAsia"/>
          <w:color w:val="auto"/>
          <w:sz w:val="24"/>
        </w:rPr>
      </w:pPr>
      <w:r>
        <w:rPr>
          <w:rFonts w:hint="eastAsia" w:asciiTheme="majorEastAsia" w:hAnsiTheme="majorEastAsia" w:eastAsiaTheme="majorEastAsia"/>
          <w:color w:val="auto"/>
          <w:sz w:val="22"/>
        </w:rPr>
        <w:t>図２　従業者数の産業大分類別構成比</w:t>
      </w:r>
    </w:p>
    <w:p>
      <w:pPr>
        <w:pStyle w:val="0"/>
        <w:rPr>
          <w:rFonts w:hint="default" w:asciiTheme="minorEastAsia" w:hAnsiTheme="minorEastAsia"/>
          <w:color w:val="auto"/>
          <w:sz w:val="20"/>
        </w:rPr>
      </w:pPr>
      <w:r>
        <w:rPr>
          <w:rFonts w:hint="eastAsia" w:asciiTheme="minorEastAsia" w:hAnsiTheme="minorEastAsia"/>
          <w:color w:val="auto"/>
          <w:sz w:val="20"/>
        </w:rPr>
        <w:t>　　　　</w:t>
      </w:r>
    </w:p>
    <w:p>
      <w:pPr>
        <w:pStyle w:val="0"/>
        <w:jc w:val="left"/>
        <w:rPr>
          <w:rFonts w:hint="default" w:asciiTheme="minorEastAsia" w:hAnsiTheme="minorEastAsia"/>
          <w:color w:val="auto"/>
          <w:sz w:val="20"/>
        </w:rPr>
      </w:pPr>
      <w:r>
        <w:rPr>
          <w:rFonts w:hint="eastAsia"/>
          <w:color w:val="auto"/>
        </w:rPr>
        <w:drawing>
          <wp:anchor simplePos="0" relativeHeight="3" behindDoc="0" locked="0" layoutInCell="1" hidden="0" allowOverlap="1">
            <wp:simplePos x="0" y="0"/>
            <wp:positionH relativeFrom="page">
              <wp:posOffset>1105535</wp:posOffset>
            </wp:positionH>
            <wp:positionV relativeFrom="page">
              <wp:posOffset>5661660</wp:posOffset>
            </wp:positionV>
            <wp:extent cx="4953000" cy="3213100"/>
            <wp:effectExtent l="0" t="0" r="0" b="0"/>
            <wp:wrapNone/>
            <wp:docPr id="1028" name="オブジェクト 0"/>
            <a:graphic xmlns:a="http://schemas.openxmlformats.org/drawingml/2006/main">
              <a:graphicData uri="http://schemas.openxmlformats.org/drawingml/2006/chart">
                <c:chart xmlns:c="http://schemas.openxmlformats.org/drawingml/2006/chart" r:id="rId7"/>
              </a:graphicData>
            </a:graphic>
          </wp:anchor>
        </w:drawing>
      </w: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Theme="minorEastAsia" w:hAnsiTheme="minorEastAsia"/>
          <w:color w:val="auto"/>
          <w:sz w:val="20"/>
        </w:rPr>
      </w:pPr>
    </w:p>
    <w:p>
      <w:pPr>
        <w:pStyle w:val="0"/>
        <w:jc w:val="lef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２　従業者規模別の民営事業所数及び従業者数の状況</w:t>
      </w:r>
    </w:p>
    <w:p>
      <w:pPr>
        <w:pStyle w:val="0"/>
        <w:ind w:left="200" w:leftChars="95" w:right="15" w:rightChars="7" w:firstLine="220" w:firstLineChars="1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従業者規模別に民営事業所数をみると、「</w:t>
      </w:r>
      <w:r>
        <w:rPr>
          <w:rFonts w:hint="eastAsia" w:ascii="ＭＳ 明朝" w:hAnsi="ＭＳ 明朝" w:eastAsia="ＭＳ 明朝"/>
          <w:color w:val="auto"/>
          <w:kern w:val="0"/>
          <w:sz w:val="22"/>
        </w:rPr>
        <w:t>1</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4</w:t>
      </w:r>
      <w:r>
        <w:rPr>
          <w:rFonts w:hint="eastAsia" w:ascii="ＭＳ 明朝" w:hAnsi="ＭＳ 明朝" w:eastAsia="ＭＳ 明朝"/>
          <w:color w:val="auto"/>
          <w:kern w:val="0"/>
          <w:sz w:val="22"/>
        </w:rPr>
        <w:t>人」規模の事業所が</w:t>
      </w:r>
      <w:r>
        <w:rPr>
          <w:rFonts w:hint="default" w:ascii="ＭＳ 明朝" w:hAnsi="ＭＳ 明朝" w:eastAsia="ＭＳ 明朝"/>
          <w:color w:val="auto"/>
          <w:kern w:val="0"/>
          <w:sz w:val="22"/>
        </w:rPr>
        <w:t>3,</w:t>
      </w:r>
      <w:r>
        <w:rPr>
          <w:rFonts w:hint="eastAsia" w:ascii="ＭＳ 明朝" w:hAnsi="ＭＳ 明朝" w:eastAsia="ＭＳ 明朝"/>
          <w:color w:val="auto"/>
          <w:kern w:val="0"/>
          <w:sz w:val="22"/>
        </w:rPr>
        <w:t>346</w:t>
      </w:r>
      <w:r>
        <w:rPr>
          <w:rFonts w:hint="eastAsia" w:ascii="ＭＳ 明朝" w:hAnsi="ＭＳ 明朝" w:eastAsia="ＭＳ 明朝"/>
          <w:color w:val="auto"/>
          <w:kern w:val="0"/>
          <w:sz w:val="22"/>
        </w:rPr>
        <w:t>事業所（事業所全体の</w:t>
      </w:r>
      <w:r>
        <w:rPr>
          <w:rFonts w:hint="eastAsia" w:ascii="ＭＳ 明朝" w:hAnsi="ＭＳ 明朝" w:eastAsia="ＭＳ 明朝"/>
          <w:color w:val="auto"/>
          <w:kern w:val="0"/>
          <w:sz w:val="22"/>
        </w:rPr>
        <w:t>60.0</w:t>
      </w:r>
      <w:r>
        <w:rPr>
          <w:rFonts w:hint="eastAsia" w:ascii="ＭＳ 明朝" w:hAnsi="ＭＳ 明朝" w:eastAsia="ＭＳ 明朝"/>
          <w:color w:val="auto"/>
          <w:kern w:val="0"/>
          <w:sz w:val="22"/>
        </w:rPr>
        <w:t>）と最も多く、次いで「</w:t>
      </w:r>
      <w:r>
        <w:rPr>
          <w:rFonts w:hint="eastAsia" w:ascii="ＭＳ 明朝" w:hAnsi="ＭＳ 明朝" w:eastAsia="ＭＳ 明朝"/>
          <w:color w:val="auto"/>
          <w:kern w:val="0"/>
          <w:sz w:val="22"/>
        </w:rPr>
        <w:t>5</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9</w:t>
      </w:r>
      <w:r>
        <w:rPr>
          <w:rFonts w:hint="eastAsia" w:ascii="ＭＳ 明朝" w:hAnsi="ＭＳ 明朝" w:eastAsia="ＭＳ 明朝"/>
          <w:color w:val="auto"/>
          <w:kern w:val="0"/>
          <w:sz w:val="22"/>
        </w:rPr>
        <w:t>人」規模が</w:t>
      </w:r>
      <w:r>
        <w:rPr>
          <w:rFonts w:hint="eastAsia" w:ascii="ＭＳ 明朝" w:hAnsi="ＭＳ 明朝" w:eastAsia="ＭＳ 明朝"/>
          <w:color w:val="auto"/>
          <w:kern w:val="0"/>
          <w:sz w:val="22"/>
        </w:rPr>
        <w:t>981</w:t>
      </w:r>
      <w:r>
        <w:rPr>
          <w:rFonts w:hint="eastAsia" w:ascii="ＭＳ 明朝" w:hAnsi="ＭＳ 明朝" w:eastAsia="ＭＳ 明朝"/>
          <w:color w:val="auto"/>
          <w:kern w:val="0"/>
          <w:sz w:val="22"/>
        </w:rPr>
        <w:t>事業所（同</w:t>
      </w:r>
      <w:r>
        <w:rPr>
          <w:rFonts w:hint="default" w:ascii="ＭＳ 明朝" w:hAnsi="ＭＳ 明朝" w:eastAsia="ＭＳ 明朝"/>
          <w:color w:val="auto"/>
          <w:kern w:val="0"/>
          <w:sz w:val="22"/>
        </w:rPr>
        <w:t>17.</w:t>
      </w:r>
      <w:r>
        <w:rPr>
          <w:rFonts w:hint="eastAsia" w:ascii="ＭＳ 明朝" w:hAnsi="ＭＳ 明朝" w:eastAsia="ＭＳ 明朝"/>
          <w:color w:val="auto"/>
          <w:kern w:val="0"/>
          <w:sz w:val="22"/>
        </w:rPr>
        <w:t>6</w:t>
      </w:r>
      <w:r>
        <w:rPr>
          <w:rFonts w:hint="eastAsia" w:ascii="ＭＳ 明朝" w:hAnsi="ＭＳ 明朝" w:eastAsia="ＭＳ 明朝"/>
          <w:color w:val="auto"/>
          <w:kern w:val="0"/>
          <w:sz w:val="22"/>
        </w:rPr>
        <w:t>％）の順となった。</w:t>
      </w:r>
    </w:p>
    <w:p>
      <w:pPr>
        <w:pStyle w:val="0"/>
        <w:ind w:left="200" w:leftChars="95" w:right="15" w:rightChars="7" w:firstLine="220" w:firstLineChars="100"/>
        <w:jc w:val="left"/>
        <w:rPr>
          <w:rFonts w:hint="default" w:ascii="ＭＳ 明朝" w:hAnsi="ＭＳ 明朝" w:eastAsia="ＭＳ 明朝"/>
          <w:color w:val="auto"/>
          <w:sz w:val="22"/>
        </w:rPr>
      </w:pPr>
      <w:r>
        <w:rPr>
          <w:rFonts w:hint="eastAsia" w:ascii="ＭＳ 明朝" w:hAnsi="ＭＳ 明朝" w:eastAsia="ＭＳ 明朝"/>
          <w:color w:val="auto"/>
          <w:kern w:val="0"/>
          <w:sz w:val="22"/>
        </w:rPr>
        <w:t>従業者規模別に従業者数をみると、「</w:t>
      </w:r>
      <w:r>
        <w:rPr>
          <w:rFonts w:hint="eastAsia" w:ascii="ＭＳ 明朝" w:hAnsi="ＭＳ 明朝" w:eastAsia="ＭＳ 明朝"/>
          <w:color w:val="auto"/>
          <w:kern w:val="0"/>
          <w:sz w:val="22"/>
        </w:rPr>
        <w:t>30</w:t>
      </w:r>
      <w:r>
        <w:rPr>
          <w:rFonts w:hint="eastAsia" w:ascii="ＭＳ 明朝" w:hAnsi="ＭＳ 明朝" w:eastAsia="ＭＳ 明朝"/>
          <w:color w:val="auto"/>
          <w:kern w:val="0"/>
          <w:sz w:val="22"/>
        </w:rPr>
        <w:t>人以上」規模の事業所の従業者数が</w:t>
      </w:r>
      <w:r>
        <w:rPr>
          <w:rFonts w:hint="default" w:ascii="ＭＳ 明朝" w:hAnsi="ＭＳ 明朝" w:eastAsia="ＭＳ 明朝"/>
          <w:color w:val="auto"/>
          <w:kern w:val="0"/>
          <w:sz w:val="22"/>
        </w:rPr>
        <w:t>2</w:t>
      </w:r>
      <w:r>
        <w:rPr>
          <w:rFonts w:hint="eastAsia" w:ascii="ＭＳ 明朝" w:hAnsi="ＭＳ 明朝" w:eastAsia="ＭＳ 明朝"/>
          <w:color w:val="auto"/>
          <w:kern w:val="0"/>
          <w:sz w:val="22"/>
        </w:rPr>
        <w:t>3</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157</w:t>
      </w:r>
      <w:r>
        <w:rPr>
          <w:rFonts w:hint="eastAsia" w:ascii="ＭＳ 明朝" w:hAnsi="ＭＳ 明朝" w:eastAsia="ＭＳ 明朝"/>
          <w:color w:val="auto"/>
          <w:kern w:val="0"/>
          <w:sz w:val="22"/>
        </w:rPr>
        <w:t>人（従業者全体の</w:t>
      </w:r>
      <w:r>
        <w:rPr>
          <w:rFonts w:hint="eastAsia" w:ascii="ＭＳ 明朝" w:hAnsi="ＭＳ 明朝" w:eastAsia="ＭＳ 明朝"/>
          <w:color w:val="auto"/>
          <w:kern w:val="0"/>
          <w:sz w:val="22"/>
        </w:rPr>
        <w:t>44.8</w:t>
      </w:r>
      <w:r>
        <w:rPr>
          <w:rFonts w:hint="eastAsia" w:ascii="ＭＳ 明朝" w:hAnsi="ＭＳ 明朝" w:eastAsia="ＭＳ 明朝"/>
          <w:color w:val="auto"/>
          <w:kern w:val="0"/>
          <w:sz w:val="22"/>
        </w:rPr>
        <w:t>％）と最も多く、次いで「</w:t>
      </w:r>
      <w:r>
        <w:rPr>
          <w:rFonts w:hint="eastAsia" w:ascii="ＭＳ 明朝" w:hAnsi="ＭＳ 明朝" w:eastAsia="ＭＳ 明朝"/>
          <w:color w:val="auto"/>
          <w:kern w:val="0"/>
          <w:sz w:val="22"/>
        </w:rPr>
        <w:t>10</w:t>
      </w: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19</w:t>
      </w:r>
      <w:r>
        <w:rPr>
          <w:rFonts w:hint="eastAsia" w:ascii="ＭＳ 明朝" w:hAnsi="ＭＳ 明朝" w:eastAsia="ＭＳ 明朝"/>
          <w:color w:val="auto"/>
          <w:kern w:val="0"/>
          <w:sz w:val="22"/>
        </w:rPr>
        <w:t>人」規模が</w:t>
      </w:r>
      <w:r>
        <w:rPr>
          <w:rFonts w:hint="default" w:ascii="ＭＳ 明朝" w:hAnsi="ＭＳ 明朝" w:eastAsia="ＭＳ 明朝"/>
          <w:color w:val="auto"/>
          <w:kern w:val="0"/>
          <w:sz w:val="22"/>
        </w:rPr>
        <w:t>8,</w:t>
      </w:r>
      <w:r>
        <w:rPr>
          <w:rFonts w:hint="eastAsia" w:ascii="ＭＳ 明朝" w:hAnsi="ＭＳ 明朝" w:eastAsia="ＭＳ 明朝"/>
          <w:color w:val="auto"/>
          <w:kern w:val="0"/>
          <w:sz w:val="22"/>
        </w:rPr>
        <w:t>709</w:t>
      </w:r>
      <w:r>
        <w:rPr>
          <w:rFonts w:hint="eastAsia" w:ascii="ＭＳ 明朝" w:hAnsi="ＭＳ 明朝" w:eastAsia="ＭＳ 明朝"/>
          <w:color w:val="auto"/>
          <w:kern w:val="0"/>
          <w:sz w:val="22"/>
        </w:rPr>
        <w:t>人（同</w:t>
      </w:r>
      <w:r>
        <w:rPr>
          <w:rFonts w:hint="eastAsia" w:ascii="ＭＳ 明朝" w:hAnsi="ＭＳ 明朝" w:eastAsia="ＭＳ 明朝"/>
          <w:color w:val="auto"/>
          <w:kern w:val="0"/>
          <w:sz w:val="22"/>
        </w:rPr>
        <w:t>16.9</w:t>
      </w:r>
      <w:r>
        <w:rPr>
          <w:rFonts w:hint="eastAsia" w:ascii="ＭＳ 明朝" w:hAnsi="ＭＳ 明朝" w:eastAsia="ＭＳ 明朝"/>
          <w:color w:val="auto"/>
          <w:kern w:val="0"/>
          <w:sz w:val="22"/>
        </w:rPr>
        <w:t>％）の順となった。</w:t>
      </w:r>
    </w:p>
    <w:p>
      <w:pPr>
        <w:pStyle w:val="0"/>
        <w:jc w:val="left"/>
        <w:rPr>
          <w:rFonts w:hint="default" w:ascii="ＭＳ 明朝" w:hAnsi="ＭＳ 明朝" w:eastAsia="ＭＳ 明朝"/>
          <w:color w:val="auto"/>
          <w:sz w:val="22"/>
        </w:rPr>
      </w:pPr>
    </w:p>
    <w:p>
      <w:pPr>
        <w:pStyle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2"/>
        </w:rPr>
        <w:t>表３　従業者規模別民営事業所数、従業者数</w:t>
      </w:r>
    </w:p>
    <w:tbl>
      <w:tblPr>
        <w:tblStyle w:val="11"/>
        <w:tblW w:w="9860" w:type="dxa"/>
        <w:jc w:val="left"/>
        <w:tblInd w:w="214" w:type="dxa"/>
        <w:tblLayout w:type="fixed"/>
        <w:tblCellMar>
          <w:left w:w="99" w:type="dxa"/>
          <w:right w:w="99" w:type="dxa"/>
        </w:tblCellMar>
        <w:tblLook w:firstRow="1" w:lastRow="0" w:firstColumn="1" w:lastColumn="0" w:noHBand="0" w:noVBand="1" w:val="04A0"/>
      </w:tblPr>
      <w:tblGrid>
        <w:gridCol w:w="536"/>
        <w:gridCol w:w="1719"/>
        <w:gridCol w:w="1116"/>
        <w:gridCol w:w="1012"/>
        <w:gridCol w:w="1013"/>
        <w:gridCol w:w="1012"/>
        <w:gridCol w:w="1013"/>
        <w:gridCol w:w="1116"/>
        <w:gridCol w:w="1323"/>
      </w:tblGrid>
      <w:tr>
        <w:trPr>
          <w:trHeight w:val="727" w:hRule="atLeast"/>
        </w:trPr>
        <w:tc>
          <w:tcPr>
            <w:tcW w:w="2255"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従業者規模別</w:t>
            </w:r>
          </w:p>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区分</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kern w:val="0"/>
                <w:sz w:val="20"/>
              </w:rPr>
            </w:pPr>
            <w:r>
              <w:rPr>
                <w:rFonts w:hint="eastAsia" w:ascii="ＭＳ ゴシック" w:hAnsi="ＭＳ ゴシック" w:eastAsia="ＭＳ ゴシック"/>
                <w:color w:val="auto"/>
                <w:kern w:val="0"/>
                <w:sz w:val="20"/>
              </w:rPr>
              <w:t>総数</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1</w:t>
            </w:r>
            <w:r>
              <w:rPr>
                <w:rFonts w:hint="eastAsia" w:ascii="ＭＳ 明朝" w:hAnsi="ＭＳ 明朝" w:eastAsia="ＭＳ 明朝"/>
                <w:color w:val="auto"/>
                <w:sz w:val="20"/>
              </w:rPr>
              <w:t>～</w:t>
            </w:r>
            <w:r>
              <w:rPr>
                <w:rFonts w:hint="eastAsia" w:ascii="ＭＳ 明朝" w:hAnsi="ＭＳ 明朝" w:eastAsia="ＭＳ 明朝"/>
                <w:color w:val="auto"/>
                <w:sz w:val="20"/>
              </w:rPr>
              <w:t>4</w:t>
            </w:r>
            <w:r>
              <w:rPr>
                <w:rFonts w:hint="eastAsia" w:ascii="ＭＳ 明朝" w:hAnsi="ＭＳ 明朝" w:eastAsia="ＭＳ 明朝"/>
                <w:color w:val="auto"/>
                <w:sz w:val="20"/>
              </w:rPr>
              <w:t>人</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5</w:t>
            </w:r>
            <w:r>
              <w:rPr>
                <w:rFonts w:hint="eastAsia" w:ascii="ＭＳ 明朝" w:hAnsi="ＭＳ 明朝" w:eastAsia="ＭＳ 明朝"/>
                <w:color w:val="auto"/>
                <w:sz w:val="20"/>
              </w:rPr>
              <w:t>～</w:t>
            </w:r>
            <w:r>
              <w:rPr>
                <w:rFonts w:hint="eastAsia" w:ascii="ＭＳ 明朝" w:hAnsi="ＭＳ 明朝" w:eastAsia="ＭＳ 明朝"/>
                <w:color w:val="auto"/>
                <w:sz w:val="20"/>
              </w:rPr>
              <w:t>9</w:t>
            </w:r>
            <w:r>
              <w:rPr>
                <w:rFonts w:hint="eastAsia" w:ascii="ＭＳ 明朝" w:hAnsi="ＭＳ 明朝" w:eastAsia="ＭＳ 明朝"/>
                <w:color w:val="auto"/>
                <w:sz w:val="20"/>
              </w:rPr>
              <w:t>人</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10</w:t>
            </w:r>
            <w:r>
              <w:rPr>
                <w:rFonts w:hint="eastAsia" w:ascii="ＭＳ 明朝" w:hAnsi="ＭＳ 明朝" w:eastAsia="ＭＳ 明朝"/>
                <w:color w:val="auto"/>
                <w:sz w:val="20"/>
              </w:rPr>
              <w:t>～</w:t>
            </w:r>
            <w:r>
              <w:rPr>
                <w:rFonts w:hint="eastAsia" w:ascii="ＭＳ 明朝" w:hAnsi="ＭＳ 明朝" w:eastAsia="ＭＳ 明朝"/>
                <w:color w:val="auto"/>
                <w:sz w:val="20"/>
              </w:rPr>
              <w:t>19</w:t>
            </w:r>
            <w:r>
              <w:rPr>
                <w:rFonts w:hint="eastAsia" w:ascii="ＭＳ 明朝" w:hAnsi="ＭＳ 明朝" w:eastAsia="ＭＳ 明朝"/>
                <w:color w:val="auto"/>
                <w:sz w:val="20"/>
              </w:rPr>
              <w:t>人</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eastAsia="ＭＳ 明朝"/>
                <w:color w:val="auto"/>
                <w:sz w:val="20"/>
              </w:rPr>
            </w:pPr>
            <w:r>
              <w:rPr>
                <w:rFonts w:hint="eastAsia" w:ascii="ＭＳ 明朝" w:hAnsi="ＭＳ 明朝" w:eastAsia="ＭＳ 明朝"/>
                <w:color w:val="auto"/>
                <w:sz w:val="20"/>
              </w:rPr>
              <w:t>20</w:t>
            </w:r>
            <w:r>
              <w:rPr>
                <w:rFonts w:hint="eastAsia" w:ascii="ＭＳ 明朝" w:hAnsi="ＭＳ 明朝" w:eastAsia="ＭＳ 明朝"/>
                <w:color w:val="auto"/>
                <w:sz w:val="20"/>
              </w:rPr>
              <w:t>～</w:t>
            </w:r>
            <w:r>
              <w:rPr>
                <w:rFonts w:hint="eastAsia" w:ascii="ＭＳ 明朝" w:hAnsi="ＭＳ 明朝" w:eastAsia="ＭＳ 明朝"/>
                <w:color w:val="auto"/>
                <w:sz w:val="20"/>
              </w:rPr>
              <w:t>29</w:t>
            </w:r>
            <w:r>
              <w:rPr>
                <w:rFonts w:hint="eastAsia" w:ascii="ＭＳ 明朝" w:hAnsi="ＭＳ 明朝" w:eastAsia="ＭＳ 明朝"/>
                <w:color w:val="auto"/>
                <w:sz w:val="20"/>
              </w:rPr>
              <w:t>人</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30</w:t>
            </w:r>
            <w:r>
              <w:rPr>
                <w:rFonts w:hint="eastAsia" w:ascii="ＭＳ 明朝" w:hAnsi="ＭＳ 明朝" w:eastAsia="ＭＳ 明朝"/>
                <w:color w:val="auto"/>
                <w:sz w:val="20"/>
              </w:rPr>
              <w:t>人以上</w:t>
            </w:r>
          </w:p>
        </w:tc>
        <w:tc>
          <w:tcPr>
            <w:tcW w:w="1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出向・派遣</w:t>
            </w:r>
          </w:p>
          <w:p>
            <w:pPr>
              <w:pStyle w:val="0"/>
              <w:widowControl w:val="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従業者のみ</w:t>
            </w:r>
          </w:p>
        </w:tc>
      </w:tr>
      <w:tr>
        <w:trPr>
          <w:trHeight w:val="414" w:hRule="atLeast"/>
        </w:trPr>
        <w:tc>
          <w:tcPr>
            <w:tcW w:w="225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事業所数（事業所）</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5,581</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3,346</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981</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642</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273</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303</w:t>
            </w:r>
          </w:p>
        </w:tc>
        <w:tc>
          <w:tcPr>
            <w:tcW w:w="1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36</w:t>
            </w:r>
          </w:p>
        </w:tc>
      </w:tr>
      <w:tr>
        <w:trPr>
          <w:trHeight w:val="414" w:hRule="atLeast"/>
        </w:trPr>
        <w:tc>
          <w:tcPr>
            <w:tcW w:w="53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p>
        </w:tc>
        <w:tc>
          <w:tcPr>
            <w:tcW w:w="1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構成比（％）</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100.0</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60.0</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17.6</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11.5</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4.9</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5.4</w:t>
            </w:r>
          </w:p>
        </w:tc>
        <w:tc>
          <w:tcPr>
            <w:tcW w:w="1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0.6</w:t>
            </w:r>
          </w:p>
        </w:tc>
      </w:tr>
      <w:tr>
        <w:trPr>
          <w:trHeight w:val="414" w:hRule="atLeast"/>
        </w:trPr>
        <w:tc>
          <w:tcPr>
            <w:tcW w:w="225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従業者数（人）</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51,655</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6,889</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6,372</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8,709</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6,528</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23,157</w:t>
            </w:r>
          </w:p>
        </w:tc>
        <w:tc>
          <w:tcPr>
            <w:tcW w:w="1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p>
        </w:tc>
      </w:tr>
      <w:tr>
        <w:trPr>
          <w:trHeight w:val="414" w:hRule="atLeast"/>
        </w:trPr>
        <w:tc>
          <w:tcPr>
            <w:tcW w:w="53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jc w:val="left"/>
              <w:rPr>
                <w:rFonts w:hint="default" w:ascii="ＭＳ 明朝" w:hAnsi="ＭＳ 明朝" w:eastAsia="ＭＳ 明朝"/>
                <w:color w:val="auto"/>
                <w:kern w:val="0"/>
                <w:sz w:val="20"/>
              </w:rPr>
            </w:pPr>
          </w:p>
        </w:tc>
        <w:tc>
          <w:tcPr>
            <w:tcW w:w="1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構成比（％）</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100.0</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13.3</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12.3</w:t>
            </w:r>
          </w:p>
        </w:tc>
        <w:tc>
          <w:tcPr>
            <w:tcW w:w="10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16.9</w:t>
            </w:r>
          </w:p>
        </w:tc>
        <w:tc>
          <w:tcPr>
            <w:tcW w:w="10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12.6</w:t>
            </w:r>
          </w:p>
        </w:tc>
        <w:tc>
          <w:tcPr>
            <w:tcW w:w="1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44.8</w:t>
            </w:r>
          </w:p>
        </w:tc>
        <w:tc>
          <w:tcPr>
            <w:tcW w:w="1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b w:val="0"/>
                <w:i w:val="0"/>
                <w:smallCaps w:val="0"/>
                <w:color w:val="auto"/>
                <w:sz w:val="20"/>
              </w:rPr>
            </w:pPr>
            <w:r>
              <w:rPr>
                <w:rFonts w:hint="eastAsia" w:asciiTheme="minorEastAsia" w:hAnsiTheme="minorEastAsia" w:eastAsiaTheme="minorEastAsia"/>
                <w:b w:val="0"/>
                <w:i w:val="0"/>
                <w:smallCaps w:val="0"/>
                <w:color w:val="auto"/>
                <w:sz w:val="20"/>
              </w:rPr>
              <w:t>-</w:t>
            </w:r>
          </w:p>
        </w:tc>
      </w:tr>
    </w:tbl>
    <w:p>
      <w:pPr>
        <w:pStyle w:val="0"/>
        <w:jc w:val="left"/>
        <w:rPr>
          <w:rFonts w:hint="default" w:ascii="ＭＳ 明朝" w:hAnsi="ＭＳ 明朝" w:eastAsia="ＭＳ 明朝"/>
          <w:color w:val="auto"/>
          <w:sz w:val="24"/>
        </w:rPr>
      </w:pPr>
    </w:p>
    <w:p>
      <w:pPr>
        <w:pStyle w:val="0"/>
        <w:jc w:val="left"/>
        <w:rPr>
          <w:rFonts w:hint="default" w:ascii="ＭＳ 明朝" w:hAnsi="ＭＳ 明朝" w:eastAsia="ＭＳ 明朝"/>
          <w:color w:val="auto"/>
          <w:sz w:val="24"/>
        </w:rPr>
      </w:pPr>
      <w:r>
        <w:rPr>
          <w:rFonts w:hint="eastAsia" w:asciiTheme="majorEastAsia" w:hAnsiTheme="majorEastAsia" w:eastAsiaTheme="majorEastAsia"/>
          <w:color w:val="auto"/>
          <w:sz w:val="22"/>
        </w:rPr>
        <w:t>図３　民営事業所数及び従業者数の従業者規模別構成比</w:t>
      </w:r>
    </w:p>
    <w:p>
      <w:pPr>
        <w:pStyle w:val="0"/>
        <w:jc w:val="left"/>
        <w:rPr>
          <w:rFonts w:hint="default" w:ascii="ＭＳ 明朝" w:hAnsi="ＭＳ 明朝" w:eastAsia="ＭＳ 明朝"/>
          <w:color w:val="auto"/>
          <w:sz w:val="20"/>
        </w:rPr>
      </w:pPr>
      <w:r>
        <w:rPr>
          <w:rFonts w:hint="eastAsia"/>
          <w:color w:val="auto"/>
        </w:rPr>
        <w:drawing>
          <wp:anchor simplePos="0" relativeHeight="4" behindDoc="0" locked="0" layoutInCell="1" hidden="0" allowOverlap="1">
            <wp:simplePos x="0" y="0"/>
            <wp:positionH relativeFrom="page">
              <wp:posOffset>587375</wp:posOffset>
            </wp:positionH>
            <wp:positionV relativeFrom="page">
              <wp:posOffset>4302125</wp:posOffset>
            </wp:positionV>
            <wp:extent cx="6337300" cy="2847975"/>
            <wp:effectExtent l="0" t="0" r="0" b="0"/>
            <wp:wrapNone/>
            <wp:docPr id="1029" name="オブジェクト 0"/>
            <a:graphic xmlns:a="http://schemas.openxmlformats.org/drawingml/2006/main">
              <a:graphicData uri="http://schemas.openxmlformats.org/drawingml/2006/chart">
                <c:chart xmlns:c="http://schemas.openxmlformats.org/drawingml/2006/chart" r:id="rId8"/>
              </a:graphicData>
            </a:graphic>
          </wp:anchor>
        </w:drawing>
      </w: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明朝" w:hAnsi="ＭＳ 明朝" w:eastAsia="ＭＳ 明朝"/>
          <w:color w:val="auto"/>
          <w:sz w:val="20"/>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4"/>
        </w:rPr>
      </w:pPr>
    </w:p>
    <w:p>
      <w:pPr>
        <w:pStyle w:val="0"/>
        <w:jc w:val="lef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３　産業大分類別売上高の状況</w:t>
      </w:r>
    </w:p>
    <w:p>
      <w:pPr>
        <w:pStyle w:val="0"/>
        <w:spacing w:line="240" w:lineRule="auto"/>
        <w:ind w:left="223" w:leftChars="106" w:right="15" w:rightChars="7" w:firstLine="233" w:firstLineChars="106"/>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産業大分類別に売上高をみると、「</w:t>
      </w:r>
      <w:r>
        <w:rPr>
          <w:rFonts w:hint="eastAsia" w:ascii="ＭＳ 明朝" w:hAnsi="ＭＳ 明朝" w:eastAsia="ＭＳ 明朝"/>
          <w:color w:val="auto"/>
          <w:kern w:val="0"/>
          <w:sz w:val="22"/>
        </w:rPr>
        <w:t>I</w:t>
      </w:r>
      <w:r>
        <w:rPr>
          <w:rFonts w:hint="eastAsia" w:ascii="ＭＳ 明朝" w:hAnsi="ＭＳ 明朝" w:eastAsia="ＭＳ 明朝"/>
          <w:color w:val="auto"/>
          <w:kern w:val="0"/>
          <w:sz w:val="22"/>
        </w:rPr>
        <w:t>卸売業，小売業」が</w:t>
      </w:r>
      <w:r>
        <w:rPr>
          <w:rFonts w:hint="eastAsia" w:ascii="ＭＳ 明朝" w:hAnsi="ＭＳ 明朝" w:eastAsia="ＭＳ 明朝"/>
          <w:color w:val="auto"/>
          <w:sz w:val="22"/>
        </w:rPr>
        <w:t>449</w:t>
      </w:r>
      <w:r>
        <w:rPr>
          <w:rFonts w:hint="default" w:ascii="ＭＳ 明朝" w:hAnsi="ＭＳ 明朝" w:eastAsia="ＭＳ 明朝"/>
          <w:color w:val="auto"/>
          <w:sz w:val="22"/>
        </w:rPr>
        <w:t>,</w:t>
      </w:r>
      <w:r>
        <w:rPr>
          <w:rFonts w:hint="eastAsia" w:ascii="ＭＳ 明朝" w:hAnsi="ＭＳ 明朝" w:eastAsia="ＭＳ 明朝"/>
          <w:color w:val="auto"/>
          <w:sz w:val="22"/>
        </w:rPr>
        <w:t>414</w:t>
      </w:r>
      <w:r>
        <w:rPr>
          <w:rFonts w:hint="eastAsia" w:ascii="ＭＳ 明朝" w:hAnsi="ＭＳ 明朝" w:eastAsia="ＭＳ 明朝"/>
          <w:color w:val="auto"/>
          <w:kern w:val="0"/>
          <w:sz w:val="22"/>
        </w:rPr>
        <w:t>百万円と最も多く、次いで「</w:t>
      </w:r>
      <w:r>
        <w:rPr>
          <w:rFonts w:hint="eastAsia" w:ascii="ＭＳ 明朝" w:hAnsi="ＭＳ 明朝" w:eastAsia="ＭＳ 明朝"/>
          <w:color w:val="auto"/>
          <w:kern w:val="0"/>
          <w:sz w:val="22"/>
        </w:rPr>
        <w:t>E</w:t>
      </w:r>
      <w:r>
        <w:rPr>
          <w:rFonts w:hint="eastAsia" w:ascii="ＭＳ 明朝" w:hAnsi="ＭＳ 明朝" w:eastAsia="ＭＳ 明朝"/>
          <w:color w:val="auto"/>
          <w:kern w:val="0"/>
          <w:sz w:val="22"/>
        </w:rPr>
        <w:t>製造業」が</w:t>
      </w:r>
      <w:r>
        <w:rPr>
          <w:rFonts w:hint="eastAsia" w:ascii="ＭＳ 明朝" w:hAnsi="ＭＳ 明朝" w:eastAsia="ＭＳ 明朝"/>
          <w:color w:val="auto"/>
          <w:kern w:val="0"/>
          <w:sz w:val="22"/>
        </w:rPr>
        <w:t>322</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779</w:t>
      </w:r>
      <w:r>
        <w:rPr>
          <w:rFonts w:hint="eastAsia" w:ascii="ＭＳ 明朝" w:hAnsi="ＭＳ 明朝" w:eastAsia="ＭＳ 明朝"/>
          <w:color w:val="auto"/>
          <w:kern w:val="0"/>
          <w:sz w:val="22"/>
        </w:rPr>
        <w:t>百万円の順となった。</w:t>
      </w:r>
    </w:p>
    <w:p>
      <w:pPr>
        <w:pStyle w:val="0"/>
        <w:spacing w:line="240" w:lineRule="auto"/>
        <w:ind w:left="231" w:leftChars="110" w:right="15" w:rightChars="7" w:firstLine="191" w:firstLineChars="87"/>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また、前回調査と比べて、売上高の増減率が最も高かったのは、</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K </w:t>
      </w:r>
      <w:r>
        <w:rPr>
          <w:rFonts w:hint="eastAsia" w:ascii="ＭＳ 明朝" w:hAnsi="ＭＳ 明朝" w:eastAsia="ＭＳ 明朝"/>
          <w:color w:val="auto"/>
          <w:sz w:val="22"/>
        </w:rPr>
        <w:t>不動産業，物品賃貸業」の</w:t>
      </w:r>
      <w:r>
        <w:rPr>
          <w:rFonts w:hint="eastAsia" w:ascii="ＭＳ 明朝" w:hAnsi="ＭＳ 明朝" w:eastAsia="ＭＳ 明朝"/>
          <w:color w:val="auto"/>
          <w:sz w:val="22"/>
        </w:rPr>
        <w:t>8,793</w:t>
      </w:r>
      <w:r>
        <w:rPr>
          <w:rFonts w:hint="eastAsia" w:ascii="ＭＳ 明朝" w:hAnsi="ＭＳ 明朝" w:eastAsia="ＭＳ 明朝"/>
          <w:color w:val="auto"/>
          <w:sz w:val="22"/>
        </w:rPr>
        <w:t>百万円（</w:t>
      </w:r>
      <w:r>
        <w:rPr>
          <w:rFonts w:hint="eastAsia" w:ascii="ＭＳ 明朝" w:hAnsi="ＭＳ 明朝" w:eastAsia="ＭＳ 明朝"/>
          <w:color w:val="auto"/>
          <w:sz w:val="22"/>
        </w:rPr>
        <w:t>37.0%</w:t>
      </w:r>
      <w:r>
        <w:rPr>
          <w:rFonts w:hint="eastAsia" w:ascii="ＭＳ 明朝" w:hAnsi="ＭＳ 明朝" w:eastAsia="ＭＳ 明朝"/>
          <w:color w:val="auto"/>
          <w:sz w:val="22"/>
        </w:rPr>
        <w:t>）であった。一方、最も低かったのは、「</w:t>
      </w:r>
      <w:r>
        <w:rPr>
          <w:rFonts w:hint="eastAsia" w:ascii="ＭＳ 明朝" w:hAnsi="ＭＳ 明朝" w:eastAsia="ＭＳ 明朝"/>
          <w:color w:val="auto"/>
          <w:sz w:val="22"/>
        </w:rPr>
        <w:t>A</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B </w:t>
      </w:r>
      <w:r>
        <w:rPr>
          <w:rFonts w:hint="eastAsia" w:ascii="ＭＳ 明朝" w:hAnsi="ＭＳ 明朝" w:eastAsia="ＭＳ 明朝"/>
          <w:color w:val="auto"/>
          <w:sz w:val="22"/>
        </w:rPr>
        <w:t>農林漁業（個人経営を除く）」の</w:t>
      </w:r>
      <w:r>
        <w:rPr>
          <w:rFonts w:hint="eastAsia" w:ascii="ＭＳ 明朝" w:hAnsi="ＭＳ 明朝" w:eastAsia="ＭＳ 明朝"/>
          <w:color w:val="auto"/>
          <w:sz w:val="22"/>
        </w:rPr>
        <w:t>2,248</w:t>
      </w:r>
      <w:r>
        <w:rPr>
          <w:rFonts w:hint="eastAsia" w:ascii="ＭＳ 明朝" w:hAnsi="ＭＳ 明朝" w:eastAsia="ＭＳ 明朝"/>
          <w:color w:val="auto"/>
          <w:sz w:val="22"/>
        </w:rPr>
        <w:t>百万円（△</w:t>
      </w:r>
      <w:r>
        <w:rPr>
          <w:rFonts w:hint="eastAsia" w:ascii="ＭＳ 明朝" w:hAnsi="ＭＳ 明朝" w:eastAsia="ＭＳ 明朝"/>
          <w:color w:val="auto"/>
          <w:sz w:val="22"/>
        </w:rPr>
        <w:t>15.8%</w:t>
      </w:r>
      <w:r>
        <w:rPr>
          <w:rFonts w:hint="eastAsia" w:ascii="ＭＳ 明朝" w:hAnsi="ＭＳ 明朝" w:eastAsia="ＭＳ 明朝"/>
          <w:color w:val="auto"/>
          <w:sz w:val="22"/>
        </w:rPr>
        <w:t>）であった。</w:t>
      </w:r>
    </w:p>
    <w:p>
      <w:pPr>
        <w:pStyle w:val="0"/>
        <w:spacing w:line="0" w:lineRule="atLeast"/>
        <w:ind w:left="199" w:leftChars="95" w:firstLine="200" w:firstLineChars="100"/>
        <w:jc w:val="left"/>
        <w:rPr>
          <w:rFonts w:hint="default" w:ascii="ＭＳ 明朝" w:hAnsi="ＭＳ 明朝" w:eastAsia="ＭＳ 明朝"/>
          <w:color w:val="auto"/>
          <w:kern w:val="0"/>
          <w:sz w:val="22"/>
        </w:rPr>
      </w:pPr>
    </w:p>
    <w:p>
      <w:pPr>
        <w:pStyle w:val="0"/>
        <w:spacing w:line="0" w:lineRule="atLeast"/>
        <w:ind w:firstLine="220" w:firstLineChars="100"/>
        <w:jc w:val="left"/>
        <w:rPr>
          <w:rFonts w:hint="default" w:ascii="ＭＳ 明朝" w:hAnsi="ＭＳ 明朝" w:eastAsia="ＭＳ 明朝"/>
          <w:color w:val="auto"/>
          <w:sz w:val="24"/>
        </w:rPr>
      </w:pPr>
      <w:r>
        <w:rPr>
          <w:rFonts w:hint="eastAsia" w:ascii="ＭＳ ゴシック" w:hAnsi="ＭＳ ゴシック" w:eastAsia="ＭＳ ゴシック"/>
          <w:color w:val="auto"/>
          <w:sz w:val="22"/>
        </w:rPr>
        <w:t>表４　産業大分類別売上高</w:t>
      </w: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　　　　　　　　　　　　　</w:t>
      </w:r>
    </w:p>
    <w:tbl>
      <w:tblPr>
        <w:tblStyle w:val="29"/>
        <w:tblW w:w="9748" w:type="dxa"/>
        <w:jc w:val="left"/>
        <w:tblInd w:w="310" w:type="dxa"/>
        <w:tblLayout w:type="fixed"/>
        <w:tblLook w:firstRow="1" w:lastRow="0" w:firstColumn="1" w:lastColumn="0" w:noHBand="0" w:noVBand="1" w:val="04A0"/>
      </w:tblPr>
      <w:tblGrid>
        <w:gridCol w:w="4275"/>
        <w:gridCol w:w="1368"/>
        <w:gridCol w:w="1368"/>
        <w:gridCol w:w="1369"/>
        <w:gridCol w:w="1368"/>
      </w:tblGrid>
      <w:tr>
        <w:trPr>
          <w:trHeight w:val="480" w:hRule="atLeast"/>
        </w:trPr>
        <w:tc>
          <w:tcPr>
            <w:tcW w:w="425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0" w:lineRule="atLeast"/>
              <w:ind w:left="0" w:leftChars="0" w:firstLine="3600" w:firstLineChars="1800"/>
              <w:jc w:val="left"/>
              <w:rPr>
                <w:rFonts w:hint="default" w:ascii="ＭＳ 明朝" w:hAnsi="ＭＳ 明朝" w:eastAsia="ＭＳ 明朝"/>
                <w:color w:val="auto"/>
                <w:sz w:val="20"/>
              </w:rPr>
            </w:pPr>
            <w:r>
              <w:rPr>
                <w:rFonts w:hint="eastAsia" w:ascii="ＭＳ 明朝" w:hAnsi="ＭＳ 明朝" w:eastAsia="ＭＳ 明朝"/>
                <w:color w:val="auto"/>
                <w:sz w:val="20"/>
              </w:rPr>
              <w:t>区分</w:t>
            </w:r>
          </w:p>
          <w:p>
            <w:pPr>
              <w:pStyle w:val="0"/>
              <w:spacing w:line="0" w:lineRule="atLeast"/>
              <w:ind w:left="720" w:hanging="720" w:hangingChars="300"/>
              <w:jc w:val="left"/>
              <w:rPr>
                <w:rFonts w:hint="default" w:ascii="ＭＳ 明朝" w:hAnsi="ＭＳ 明朝" w:eastAsia="ＭＳ 明朝"/>
                <w:color w:val="auto"/>
                <w:sz w:val="20"/>
              </w:rPr>
            </w:pPr>
          </w:p>
          <w:p>
            <w:pPr>
              <w:pStyle w:val="0"/>
              <w:spacing w:line="0" w:lineRule="atLeast"/>
              <w:ind w:left="720" w:hanging="720" w:hangingChars="300"/>
              <w:jc w:val="left"/>
              <w:rPr>
                <w:rFonts w:hint="default" w:ascii="ＭＳ 明朝" w:hAnsi="ＭＳ 明朝" w:eastAsia="ＭＳ 明朝"/>
                <w:color w:val="auto"/>
                <w:sz w:val="20"/>
              </w:rPr>
            </w:pPr>
          </w:p>
          <w:p>
            <w:pPr>
              <w:pStyle w:val="0"/>
              <w:spacing w:line="0" w:lineRule="atLeast"/>
              <w:ind w:left="720" w:hanging="720" w:hangingChars="300"/>
              <w:jc w:val="left"/>
              <w:rPr>
                <w:rFonts w:hint="default" w:ascii="ＭＳ 明朝" w:hAnsi="ＭＳ 明朝" w:eastAsia="ＭＳ 明朝"/>
                <w:color w:val="auto"/>
                <w:sz w:val="20"/>
              </w:rPr>
            </w:pPr>
          </w:p>
          <w:p>
            <w:pPr>
              <w:pStyle w:val="0"/>
              <w:spacing w:line="0" w:lineRule="atLeast"/>
              <w:ind w:left="720" w:hanging="720" w:hangingChars="300"/>
              <w:jc w:val="left"/>
              <w:rPr>
                <w:rFonts w:hint="default" w:ascii="ＭＳ 明朝" w:hAnsi="ＭＳ 明朝" w:eastAsia="ＭＳ 明朝"/>
                <w:color w:val="auto"/>
                <w:sz w:val="20"/>
              </w:rPr>
            </w:pPr>
            <w:r>
              <w:rPr>
                <w:rFonts w:hint="eastAsia" w:ascii="ＭＳ 明朝" w:hAnsi="ＭＳ 明朝" w:eastAsia="ＭＳ 明朝"/>
                <w:color w:val="auto"/>
                <w:sz w:val="20"/>
              </w:rPr>
              <w:t>産業大分類</w:t>
            </w:r>
          </w:p>
        </w:tc>
        <w:tc>
          <w:tcPr>
            <w:tcW w:w="1361" w:type="dxa"/>
            <w:gridSpan w:val="3"/>
            <w:vAlign w:val="center"/>
          </w:tcPr>
          <w:p>
            <w:pPr>
              <w:pStyle w:val="0"/>
              <w:spacing w:line="0" w:lineRule="atLeast"/>
              <w:ind w:left="720" w:hanging="720" w:hangingChars="300"/>
              <w:jc w:val="center"/>
              <w:rPr>
                <w:rFonts w:hint="default" w:ascii="ＭＳ 明朝" w:hAnsi="ＭＳ 明朝" w:eastAsia="ＭＳ 明朝"/>
                <w:color w:val="auto"/>
                <w:sz w:val="20"/>
              </w:rPr>
            </w:pPr>
            <w:r>
              <w:rPr>
                <w:rFonts w:hint="eastAsia" w:ascii="ＭＳ 明朝" w:hAnsi="ＭＳ 明朝" w:eastAsia="ＭＳ 明朝"/>
                <w:color w:val="auto"/>
                <w:sz w:val="20"/>
              </w:rPr>
              <w:t>令和２年</w:t>
            </w:r>
          </w:p>
        </w:tc>
        <w:tc>
          <w:tcPr>
            <w:tcW w:w="1361" w:type="dxa"/>
            <w:vAlign w:val="center"/>
          </w:tcPr>
          <w:p>
            <w:pPr>
              <w:pStyle w:val="0"/>
              <w:spacing w:line="0" w:lineRule="atLeast"/>
              <w:ind w:left="720" w:hanging="720" w:hangingChars="300"/>
              <w:jc w:val="center"/>
              <w:rPr>
                <w:rFonts w:hint="default" w:ascii="ＭＳ 明朝" w:hAnsi="ＭＳ 明朝" w:eastAsia="ＭＳ 明朝"/>
                <w:color w:val="auto"/>
                <w:sz w:val="20"/>
              </w:rPr>
            </w:pPr>
            <w:r>
              <w:rPr>
                <w:rFonts w:hint="eastAsia" w:ascii="ＭＳ 明朝" w:hAnsi="ＭＳ 明朝" w:eastAsia="ＭＳ 明朝"/>
                <w:color w:val="auto"/>
                <w:sz w:val="20"/>
              </w:rPr>
              <w:t>【参考値】</w:t>
            </w:r>
          </w:p>
          <w:p>
            <w:pPr>
              <w:pStyle w:val="0"/>
              <w:spacing w:line="0" w:lineRule="atLeast"/>
              <w:ind w:left="720" w:hanging="720" w:hangingChars="300"/>
              <w:jc w:val="center"/>
              <w:rPr>
                <w:rFonts w:hint="default" w:ascii="ＭＳ 明朝" w:hAnsi="ＭＳ 明朝" w:eastAsia="ＭＳ 明朝"/>
                <w:color w:val="auto"/>
                <w:sz w:val="20"/>
              </w:rPr>
            </w:pPr>
            <w:r>
              <w:rPr>
                <w:rFonts w:hint="eastAsia" w:ascii="ＭＳ 明朝" w:hAnsi="ＭＳ 明朝" w:eastAsia="ＭＳ 明朝"/>
                <w:color w:val="auto"/>
                <w:sz w:val="20"/>
              </w:rPr>
              <w:t>平成</w:t>
            </w:r>
            <w:r>
              <w:rPr>
                <w:rFonts w:hint="eastAsia" w:ascii="ＭＳ 明朝" w:hAnsi="ＭＳ 明朝" w:eastAsia="ＭＳ 明朝"/>
                <w:color w:val="auto"/>
                <w:sz w:val="20"/>
              </w:rPr>
              <w:t>27</w:t>
            </w:r>
            <w:r>
              <w:rPr>
                <w:rFonts w:hint="eastAsia" w:ascii="ＭＳ 明朝" w:hAnsi="ＭＳ 明朝" w:eastAsia="ＭＳ 明朝"/>
                <w:color w:val="auto"/>
                <w:sz w:val="20"/>
              </w:rPr>
              <w:t>年</w:t>
            </w:r>
          </w:p>
        </w:tc>
      </w:tr>
      <w:tr>
        <w:trPr>
          <w:trHeight w:val="794" w:hRule="atLeast"/>
        </w:trPr>
        <w:tc>
          <w:tcPr>
            <w:tcW w:w="4252" w:type="dxa"/>
            <w:vMerge w:val="continue"/>
            <w:vAlign w:val="top"/>
          </w:tcPr>
          <w:p>
            <w:pPr>
              <w:pStyle w:val="0"/>
              <w:rPr>
                <w:rFonts w:hint="eastAsia"/>
              </w:rPr>
            </w:pPr>
          </w:p>
        </w:tc>
        <w:tc>
          <w:tcPr>
            <w:tcW w:w="1361" w:type="dxa"/>
            <w:vAlign w:val="center"/>
          </w:tcPr>
          <w:p>
            <w:pPr>
              <w:pStyle w:val="0"/>
              <w:spacing w:line="0" w:lineRule="atLeast"/>
              <w:ind w:left="2"/>
              <w:jc w:val="center"/>
              <w:rPr>
                <w:rFonts w:hint="default" w:ascii="ＭＳ 明朝" w:hAnsi="ＭＳ 明朝" w:eastAsia="ＭＳ 明朝"/>
                <w:color w:val="auto"/>
                <w:sz w:val="20"/>
              </w:rPr>
            </w:pPr>
            <w:r>
              <w:rPr>
                <w:rFonts w:hint="eastAsia" w:ascii="ＭＳ 明朝" w:hAnsi="ＭＳ 明朝" w:eastAsia="ＭＳ 明朝"/>
                <w:color w:val="auto"/>
                <w:sz w:val="20"/>
              </w:rPr>
              <w:t>売上高</w:t>
            </w:r>
          </w:p>
        </w:tc>
        <w:tc>
          <w:tcPr>
            <w:tcW w:w="1361" w:type="dxa"/>
            <w:vAlign w:val="center"/>
          </w:tcPr>
          <w:p>
            <w:pPr>
              <w:pStyle w:val="0"/>
              <w:spacing w:line="0" w:lineRule="atLeast"/>
              <w:ind w:left="720" w:hanging="720" w:hangingChars="300"/>
              <w:jc w:val="center"/>
              <w:rPr>
                <w:rFonts w:hint="default" w:ascii="ＭＳ 明朝" w:hAnsi="ＭＳ 明朝" w:eastAsia="ＭＳ 明朝"/>
                <w:color w:val="auto"/>
                <w:sz w:val="20"/>
              </w:rPr>
            </w:pPr>
            <w:r>
              <w:rPr>
                <w:rFonts w:hint="eastAsia" w:ascii="ＭＳ 明朝" w:hAnsi="ＭＳ 明朝" w:eastAsia="ＭＳ 明朝"/>
                <w:color w:val="auto"/>
                <w:sz w:val="20"/>
              </w:rPr>
              <w:t>増減数</w:t>
            </w:r>
          </w:p>
        </w:tc>
        <w:tc>
          <w:tcPr>
            <w:tcW w:w="1361" w:type="dxa"/>
            <w:vAlign w:val="center"/>
          </w:tcPr>
          <w:p>
            <w:pPr>
              <w:pStyle w:val="0"/>
              <w:spacing w:line="0" w:lineRule="atLeast"/>
              <w:ind w:left="720" w:hanging="720" w:hangingChars="300"/>
              <w:jc w:val="center"/>
              <w:rPr>
                <w:rFonts w:hint="default" w:ascii="ＭＳ 明朝" w:hAnsi="ＭＳ 明朝" w:eastAsia="ＭＳ 明朝"/>
                <w:color w:val="auto"/>
                <w:sz w:val="20"/>
              </w:rPr>
            </w:pPr>
            <w:r>
              <w:rPr>
                <w:rFonts w:hint="eastAsia" w:ascii="ＭＳ 明朝" w:hAnsi="ＭＳ 明朝" w:eastAsia="ＭＳ 明朝"/>
                <w:color w:val="auto"/>
                <w:sz w:val="20"/>
              </w:rPr>
              <w:t>増減率</w:t>
            </w:r>
          </w:p>
        </w:tc>
        <w:tc>
          <w:tcPr>
            <w:tcW w:w="1361" w:type="dxa"/>
            <w:vAlign w:val="center"/>
          </w:tcPr>
          <w:p>
            <w:pPr>
              <w:pStyle w:val="0"/>
              <w:spacing w:line="0" w:lineRule="atLeast"/>
              <w:ind w:left="2"/>
              <w:jc w:val="center"/>
              <w:rPr>
                <w:rFonts w:hint="default" w:ascii="ＭＳ 明朝" w:hAnsi="ＭＳ 明朝" w:eastAsia="ＭＳ 明朝"/>
                <w:color w:val="auto"/>
                <w:sz w:val="20"/>
              </w:rPr>
            </w:pPr>
            <w:r>
              <w:rPr>
                <w:rFonts w:hint="eastAsia" w:ascii="ＭＳ 明朝" w:hAnsi="ＭＳ 明朝" w:eastAsia="ＭＳ 明朝"/>
                <w:color w:val="auto"/>
                <w:sz w:val="20"/>
              </w:rPr>
              <w:t>売上高</w:t>
            </w:r>
          </w:p>
        </w:tc>
      </w:tr>
      <w:tr>
        <w:trPr>
          <w:trHeight w:val="270" w:hRule="atLeast"/>
        </w:trPr>
        <w:tc>
          <w:tcPr>
            <w:tcW w:w="4252"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0" w:lineRule="atLeast"/>
              <w:ind w:left="720" w:hanging="720" w:hangingChars="300"/>
              <w:jc w:val="left"/>
              <w:rPr>
                <w:rFonts w:hint="default" w:ascii="ＭＳ 明朝" w:hAnsi="ＭＳ 明朝" w:eastAsia="ＭＳ 明朝"/>
                <w:color w:val="auto"/>
                <w:sz w:val="20"/>
              </w:rPr>
            </w:pPr>
            <w:r>
              <w:rPr>
                <w:rFonts w:hint="eastAsia" w:ascii="ＭＳ 明朝" w:hAnsi="ＭＳ 明朝" w:eastAsia="ＭＳ 明朝"/>
                <w:color w:val="auto"/>
                <w:sz w:val="20"/>
              </w:rPr>
              <w:t>　</w:t>
            </w:r>
          </w:p>
        </w:tc>
        <w:tc>
          <w:tcPr>
            <w:tcW w:w="1361"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0" w:lineRule="atLeast"/>
              <w:ind w:left="720" w:hanging="720" w:hangingChars="300"/>
              <w:jc w:val="right"/>
              <w:rPr>
                <w:rFonts w:hint="default" w:ascii="ＭＳ 明朝" w:hAnsi="ＭＳ 明朝" w:eastAsia="ＭＳ 明朝"/>
                <w:color w:val="auto"/>
                <w:sz w:val="20"/>
              </w:rPr>
            </w:pPr>
            <w:r>
              <w:rPr>
                <w:rFonts w:hint="eastAsia" w:ascii="ＭＳ 明朝" w:hAnsi="ＭＳ 明朝" w:eastAsia="ＭＳ 明朝"/>
                <w:color w:val="auto"/>
                <w:sz w:val="20"/>
              </w:rPr>
              <w:t>百万円</w:t>
            </w:r>
          </w:p>
        </w:tc>
        <w:tc>
          <w:tcPr>
            <w:tcW w:w="1361"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0" w:lineRule="atLeast"/>
              <w:ind w:left="720" w:hanging="720" w:hangingChars="300"/>
              <w:jc w:val="right"/>
              <w:rPr>
                <w:rFonts w:hint="default" w:ascii="ＭＳ 明朝" w:hAnsi="ＭＳ 明朝" w:eastAsia="ＭＳ 明朝"/>
                <w:color w:val="auto"/>
                <w:sz w:val="20"/>
              </w:rPr>
            </w:pPr>
            <w:r>
              <w:rPr>
                <w:rFonts w:hint="eastAsia" w:ascii="ＭＳ 明朝" w:hAnsi="ＭＳ 明朝" w:eastAsia="ＭＳ 明朝"/>
                <w:color w:val="auto"/>
                <w:sz w:val="20"/>
              </w:rPr>
              <w:t>百万円</w:t>
            </w:r>
          </w:p>
        </w:tc>
        <w:tc>
          <w:tcPr>
            <w:tcW w:w="1361"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0" w:lineRule="atLeast"/>
              <w:ind w:left="720" w:hanging="720" w:hangingChars="300"/>
              <w:jc w:val="right"/>
              <w:rPr>
                <w:rFonts w:hint="default" w:ascii="ＭＳ 明朝" w:hAnsi="ＭＳ 明朝" w:eastAsia="ＭＳ 明朝"/>
                <w:color w:val="auto"/>
                <w:sz w:val="20"/>
              </w:rPr>
            </w:pPr>
            <w:r>
              <w:rPr>
                <w:rFonts w:hint="eastAsia" w:ascii="ＭＳ 明朝" w:hAnsi="ＭＳ 明朝" w:eastAsia="ＭＳ 明朝"/>
                <w:color w:val="auto"/>
                <w:sz w:val="20"/>
              </w:rPr>
              <w:t>％</w:t>
            </w:r>
          </w:p>
        </w:tc>
        <w:tc>
          <w:tcPr>
            <w:tcW w:w="1361"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0" w:lineRule="atLeast"/>
              <w:ind w:left="720" w:hanging="720" w:hangingChars="300"/>
              <w:jc w:val="right"/>
              <w:rPr>
                <w:rFonts w:hint="default" w:ascii="ＭＳ 明朝" w:hAnsi="ＭＳ 明朝" w:eastAsia="ＭＳ 明朝"/>
                <w:color w:val="auto"/>
                <w:sz w:val="20"/>
              </w:rPr>
            </w:pPr>
            <w:r>
              <w:rPr>
                <w:rFonts w:hint="eastAsia" w:ascii="ＭＳ 明朝" w:hAnsi="ＭＳ 明朝" w:eastAsia="ＭＳ 明朝"/>
                <w:color w:val="auto"/>
                <w:sz w:val="20"/>
              </w:rPr>
              <w:t>百万円</w:t>
            </w:r>
          </w:p>
        </w:tc>
      </w:tr>
      <w:tr>
        <w:trPr>
          <w:trHeight w:val="270" w:hRule="atLeast"/>
        </w:trPr>
        <w:tc>
          <w:tcPr>
            <w:tcW w:w="4252"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A</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R</w:t>
            </w:r>
            <w:r>
              <w:rPr>
                <w:rFonts w:hint="eastAsia" w:ascii="ＭＳ ゴシック" w:hAnsi="ＭＳ ゴシック" w:eastAsia="ＭＳ ゴシック"/>
                <w:color w:val="auto"/>
                <w:sz w:val="20"/>
              </w:rPr>
              <w:t>　全産業（Ｓ公務を除く）</w:t>
            </w:r>
          </w:p>
        </w:tc>
        <w:tc>
          <w:tcPr>
            <w:tcW w:w="1361"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r>
      <w:tr>
        <w:trPr>
          <w:trHeight w:val="397" w:hRule="atLeast"/>
        </w:trPr>
        <w:tc>
          <w:tcPr>
            <w:tcW w:w="4252"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left="610" w:leftChars="100" w:hanging="400" w:hangingChars="200"/>
              <w:jc w:val="both"/>
              <w:rPr>
                <w:rFonts w:hint="default" w:ascii="ＭＳ 明朝" w:hAnsi="ＭＳ 明朝" w:eastAsia="ＭＳ 明朝"/>
                <w:color w:val="auto"/>
                <w:sz w:val="20"/>
              </w:rPr>
            </w:pPr>
            <w:r>
              <w:rPr>
                <w:rFonts w:hint="eastAsia" w:ascii="ＭＳ 明朝" w:hAnsi="ＭＳ 明朝" w:eastAsia="ＭＳ 明朝"/>
                <w:color w:val="auto"/>
                <w:sz w:val="20"/>
              </w:rPr>
              <w:t>A</w:t>
            </w:r>
            <w:r>
              <w:rPr>
                <w:rFonts w:hint="eastAsia" w:ascii="ＭＳ 明朝" w:hAnsi="ＭＳ 明朝" w:eastAsia="ＭＳ 明朝"/>
                <w:color w:val="auto"/>
                <w:sz w:val="20"/>
              </w:rPr>
              <w:t>～</w:t>
            </w:r>
            <w:r>
              <w:rPr>
                <w:rFonts w:hint="eastAsia" w:ascii="ＭＳ 明朝" w:hAnsi="ＭＳ 明朝" w:eastAsia="ＭＳ 明朝"/>
                <w:color w:val="auto"/>
                <w:sz w:val="20"/>
              </w:rPr>
              <w:t xml:space="preserve">B </w:t>
            </w:r>
            <w:r>
              <w:rPr>
                <w:rFonts w:hint="eastAsia" w:ascii="ＭＳ 明朝" w:hAnsi="ＭＳ 明朝" w:eastAsia="ＭＳ 明朝"/>
                <w:color w:val="auto"/>
                <w:sz w:val="20"/>
              </w:rPr>
              <w:t>農林漁業（個人経営を除く）</w:t>
            </w:r>
          </w:p>
        </w:tc>
        <w:tc>
          <w:tcPr>
            <w:tcW w:w="1361"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2,248</w:t>
            </w:r>
          </w:p>
        </w:tc>
        <w:tc>
          <w:tcPr>
            <w:tcW w:w="1361"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421</w:t>
            </w:r>
          </w:p>
        </w:tc>
        <w:tc>
          <w:tcPr>
            <w:tcW w:w="1361"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 1</w:t>
            </w:r>
            <w:r>
              <w:rPr>
                <w:rFonts w:hint="eastAsia" w:ascii="ＭＳ 明朝" w:hAnsi="ＭＳ 明朝" w:eastAsia="ＭＳ 明朝"/>
                <w:b w:val="0"/>
                <w:i w:val="0"/>
                <w:smallCaps w:val="0"/>
                <w:color w:val="auto"/>
                <w:sz w:val="22"/>
              </w:rPr>
              <w:t>5.8</w:t>
            </w:r>
          </w:p>
        </w:tc>
        <w:tc>
          <w:tcPr>
            <w:tcW w:w="1361"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2,669</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C </w:t>
            </w:r>
            <w:r>
              <w:rPr>
                <w:rFonts w:hint="eastAsia" w:ascii="ＭＳ 明朝" w:hAnsi="ＭＳ 明朝" w:eastAsia="ＭＳ 明朝"/>
                <w:color w:val="auto"/>
                <w:sz w:val="20"/>
              </w:rPr>
              <w:t>鉱業，採石業，砂利採取業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X</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X</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D </w:t>
            </w:r>
            <w:r>
              <w:rPr>
                <w:rFonts w:hint="eastAsia" w:ascii="ＭＳ 明朝" w:hAnsi="ＭＳ 明朝" w:eastAsia="ＭＳ 明朝"/>
                <w:color w:val="auto"/>
                <w:sz w:val="20"/>
              </w:rPr>
              <w:t>建設業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E </w:t>
            </w:r>
            <w:r>
              <w:rPr>
                <w:rFonts w:hint="eastAsia" w:ascii="ＭＳ 明朝" w:hAnsi="ＭＳ 明朝" w:eastAsia="ＭＳ 明朝"/>
                <w:color w:val="auto"/>
                <w:sz w:val="20"/>
              </w:rPr>
              <w:t>製造業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322,779</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23,133</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7.7</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299,646</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F </w:t>
            </w:r>
            <w:r>
              <w:rPr>
                <w:rFonts w:hint="eastAsia" w:ascii="ＭＳ 明朝" w:hAnsi="ＭＳ 明朝" w:eastAsia="ＭＳ 明朝"/>
                <w:color w:val="auto"/>
                <w:sz w:val="20"/>
              </w:rPr>
              <w:t>電気・ガス・熱供給・水道業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G </w:t>
            </w:r>
            <w:r>
              <w:rPr>
                <w:rFonts w:hint="eastAsia" w:ascii="ＭＳ 明朝" w:hAnsi="ＭＳ 明朝" w:eastAsia="ＭＳ 明朝"/>
                <w:color w:val="auto"/>
                <w:sz w:val="20"/>
              </w:rPr>
              <w:t>情報通信業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H </w:t>
            </w:r>
            <w:r>
              <w:rPr>
                <w:rFonts w:hint="eastAsia" w:ascii="ＭＳ 明朝" w:hAnsi="ＭＳ 明朝" w:eastAsia="ＭＳ 明朝"/>
                <w:color w:val="auto"/>
                <w:sz w:val="20"/>
              </w:rPr>
              <w:t>運輸業，郵便業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I </w:t>
            </w:r>
            <w:r>
              <w:rPr>
                <w:rFonts w:hint="eastAsia" w:ascii="ＭＳ 明朝" w:hAnsi="ＭＳ 明朝" w:eastAsia="ＭＳ 明朝"/>
                <w:color w:val="auto"/>
                <w:sz w:val="20"/>
              </w:rPr>
              <w:t>卸売業，小売業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449,414</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19,899</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4.6</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429,515</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J </w:t>
            </w:r>
            <w:r>
              <w:rPr>
                <w:rFonts w:hint="eastAsia" w:ascii="ＭＳ 明朝" w:hAnsi="ＭＳ 明朝" w:eastAsia="ＭＳ 明朝"/>
                <w:color w:val="auto"/>
                <w:sz w:val="20"/>
              </w:rPr>
              <w:t>金融業，保険業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K </w:t>
            </w:r>
            <w:r>
              <w:rPr>
                <w:rFonts w:hint="eastAsia" w:ascii="ＭＳ 明朝" w:hAnsi="ＭＳ 明朝" w:eastAsia="ＭＳ 明朝"/>
                <w:color w:val="auto"/>
                <w:sz w:val="20"/>
              </w:rPr>
              <w:t>不動産業，物品賃貸業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8,793</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2,376</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37.0</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6,417</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L </w:t>
            </w:r>
            <w:r>
              <w:rPr>
                <w:rFonts w:hint="eastAsia" w:ascii="ＭＳ 明朝" w:hAnsi="ＭＳ 明朝" w:eastAsia="ＭＳ 明朝"/>
                <w:color w:val="auto"/>
                <w:sz w:val="20"/>
              </w:rPr>
              <w:t>学術研究，専門・技術サービス業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6,832</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1,524</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28.7</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5,308</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M </w:t>
            </w:r>
            <w:r>
              <w:rPr>
                <w:rFonts w:hint="eastAsia" w:ascii="ＭＳ 明朝" w:hAnsi="ＭＳ 明朝" w:eastAsia="ＭＳ 明朝"/>
                <w:color w:val="auto"/>
                <w:sz w:val="20"/>
              </w:rPr>
              <w:t>宿泊業，飲食サービス業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12,990</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465</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3.7</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12,525</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N </w:t>
            </w:r>
            <w:r>
              <w:rPr>
                <w:rFonts w:hint="eastAsia" w:ascii="ＭＳ 明朝" w:hAnsi="ＭＳ 明朝" w:eastAsia="ＭＳ 明朝"/>
                <w:color w:val="auto"/>
                <w:sz w:val="20"/>
              </w:rPr>
              <w:t>生活関連サービス業，娯楽業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14,777</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X</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O </w:t>
            </w:r>
            <w:r>
              <w:rPr>
                <w:rFonts w:hint="eastAsia" w:ascii="ＭＳ 明朝" w:hAnsi="ＭＳ 明朝" w:eastAsia="ＭＳ 明朝"/>
                <w:color w:val="auto"/>
                <w:sz w:val="20"/>
              </w:rPr>
              <w:t>教育，学習支援業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P </w:t>
            </w:r>
            <w:r>
              <w:rPr>
                <w:rFonts w:hint="eastAsia" w:ascii="ＭＳ 明朝" w:hAnsi="ＭＳ 明朝" w:eastAsia="ＭＳ 明朝"/>
                <w:color w:val="auto"/>
                <w:sz w:val="20"/>
              </w:rPr>
              <w:t>医療，福祉</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42,436</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3,365</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8.6</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39,071</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Q </w:t>
            </w:r>
            <w:r>
              <w:rPr>
                <w:rFonts w:hint="eastAsia" w:ascii="ＭＳ 明朝" w:hAnsi="ＭＳ 明朝" w:eastAsia="ＭＳ 明朝"/>
                <w:color w:val="auto"/>
                <w:sz w:val="20"/>
              </w:rPr>
              <w:t>複合サービス事業</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r>
      <w:tr>
        <w:trPr>
          <w:trHeight w:val="397" w:hRule="atLeast"/>
        </w:trPr>
        <w:tc>
          <w:tcPr>
            <w:tcW w:w="4252" w:type="dxa"/>
            <w:vAlign w:val="center"/>
          </w:tcPr>
          <w:p>
            <w:pPr>
              <w:pStyle w:val="0"/>
              <w:spacing w:line="0" w:lineRule="atLeast"/>
              <w:ind w:left="810" w:leftChars="100" w:hanging="600" w:hangingChars="300"/>
              <w:jc w:val="both"/>
              <w:rPr>
                <w:rFonts w:hint="default" w:ascii="ＭＳ 明朝" w:hAnsi="ＭＳ 明朝" w:eastAsia="ＭＳ 明朝"/>
                <w:color w:val="auto"/>
                <w:sz w:val="20"/>
              </w:rPr>
            </w:pPr>
            <w:r>
              <w:rPr>
                <w:rFonts w:hint="eastAsia" w:ascii="ＭＳ 明朝" w:hAnsi="ＭＳ 明朝" w:eastAsia="ＭＳ 明朝"/>
                <w:color w:val="auto"/>
                <w:sz w:val="20"/>
              </w:rPr>
              <w:t xml:space="preserve">R </w:t>
            </w:r>
            <w:r>
              <w:rPr>
                <w:rFonts w:hint="eastAsia" w:ascii="ＭＳ 明朝" w:hAnsi="ＭＳ 明朝" w:eastAsia="ＭＳ 明朝"/>
                <w:color w:val="auto"/>
                <w:sz w:val="20"/>
              </w:rPr>
              <w:t>サービス業（他に分類されないもの）</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c>
          <w:tcPr>
            <w:tcW w:w="1361" w:type="dxa"/>
            <w:vAlign w:val="center"/>
          </w:tcPr>
          <w:p>
            <w:pPr>
              <w:pStyle w:val="0"/>
              <w:jc w:val="right"/>
              <w:rPr>
                <w:rFonts w:hint="default" w:ascii="ＭＳ 明朝" w:hAnsi="ＭＳ 明朝" w:eastAsia="ＭＳ 明朝"/>
                <w:b w:val="0"/>
                <w:i w:val="0"/>
                <w:smallCaps w:val="0"/>
                <w:color w:val="auto"/>
                <w:sz w:val="22"/>
              </w:rPr>
            </w:pPr>
            <w:r>
              <w:rPr>
                <w:rFonts w:hint="default" w:ascii="ＭＳ 明朝" w:hAnsi="ＭＳ 明朝" w:eastAsia="ＭＳ 明朝"/>
                <w:b w:val="0"/>
                <w:i w:val="0"/>
                <w:smallCaps w:val="0"/>
                <w:color w:val="auto"/>
                <w:sz w:val="22"/>
              </w:rPr>
              <w:t>...</w:t>
            </w:r>
          </w:p>
        </w:tc>
      </w:tr>
    </w:tbl>
    <w:p>
      <w:pPr>
        <w:pStyle w:val="0"/>
        <w:spacing w:line="0" w:lineRule="atLeast"/>
        <w:ind w:left="720" w:hanging="720" w:hangingChars="300"/>
        <w:jc w:val="left"/>
        <w:rPr>
          <w:rFonts w:hint="default" w:ascii="ＭＳ 明朝" w:hAnsi="ＭＳ 明朝" w:eastAsia="ＭＳ 明朝"/>
          <w:color w:val="auto"/>
          <w:sz w:val="20"/>
        </w:rPr>
      </w:pPr>
      <w:r>
        <w:rPr>
          <w:rFonts w:hint="eastAsia" w:eastAsia="ＭＳ 明朝"/>
          <w:color w:val="auto"/>
          <w:sz w:val="22"/>
        </w:rPr>
        <w:t>　</w:t>
      </w:r>
      <w:r>
        <w:rPr>
          <w:rFonts w:hint="eastAsia" w:eastAsia="ＭＳ 明朝"/>
          <w:color w:val="auto"/>
          <w:sz w:val="20"/>
        </w:rPr>
        <w:t>（注）</w:t>
      </w:r>
      <w:r>
        <w:rPr>
          <w:rFonts w:hint="eastAsia"/>
          <w:color w:val="auto"/>
          <w:sz w:val="20"/>
        </w:rPr>
        <w:t>「外国の会社」及び「法人でない団体」を除く。</w:t>
      </w:r>
    </w:p>
    <w:p>
      <w:pPr>
        <w:pStyle w:val="0"/>
        <w:spacing w:line="0" w:lineRule="atLeast"/>
        <w:ind w:left="720" w:hanging="720" w:hangingChars="300"/>
        <w:jc w:val="left"/>
        <w:rPr>
          <w:rFonts w:hint="default" w:ascii="ＭＳ 明朝" w:hAnsi="ＭＳ 明朝" w:eastAsia="ＭＳ 明朝"/>
          <w:color w:val="auto"/>
          <w:sz w:val="24"/>
        </w:rPr>
      </w:pPr>
      <w:r>
        <w:rPr>
          <w:rFonts w:hint="eastAsia"/>
          <w:color w:val="auto"/>
          <w:sz w:val="20"/>
        </w:rPr>
        <w:t>　</w:t>
      </w:r>
      <w:r>
        <w:rPr>
          <w:rFonts w:hint="eastAsia" w:ascii="ＭＳ 明朝" w:hAnsi="ＭＳ 明朝" w:eastAsia="ＭＳ 明朝"/>
          <w:color w:val="auto"/>
          <w:sz w:val="20"/>
        </w:rPr>
        <w:t>（注）時系列比較を行う際には留意が必要（「利用上の注意」</w:t>
      </w:r>
      <w:r>
        <w:rPr>
          <w:rFonts w:hint="eastAsia" w:ascii="ＭＳ 明朝" w:hAnsi="ＭＳ 明朝" w:eastAsia="ＭＳ 明朝"/>
          <w:color w:val="auto"/>
          <w:sz w:val="20"/>
        </w:rPr>
        <w:t>11</w:t>
      </w:r>
      <w:r>
        <w:rPr>
          <w:rFonts w:hint="eastAsia" w:ascii="ＭＳ 明朝" w:hAnsi="ＭＳ 明朝" w:eastAsia="ＭＳ 明朝"/>
          <w:color w:val="auto"/>
          <w:sz w:val="20"/>
        </w:rPr>
        <w:t>参照）</w:t>
      </w:r>
    </w:p>
    <w:p>
      <w:pPr>
        <w:pStyle w:val="0"/>
        <w:spacing w:line="0" w:lineRule="atLeast"/>
        <w:ind w:left="610" w:leftChars="100" w:hanging="400" w:hangingChars="200"/>
        <w:jc w:val="left"/>
        <w:rPr>
          <w:rFonts w:hint="default" w:ascii="ＭＳ 明朝" w:hAnsi="ＭＳ 明朝" w:eastAsia="ＭＳ 明朝"/>
          <w:color w:val="auto"/>
          <w:sz w:val="24"/>
        </w:rPr>
      </w:pPr>
      <w:r>
        <w:rPr>
          <w:rFonts w:hint="eastAsia" w:ascii="ＭＳ 明朝" w:hAnsi="ＭＳ 明朝" w:eastAsia="ＭＳ 明朝"/>
          <w:color w:val="auto"/>
          <w:sz w:val="20"/>
        </w:rPr>
        <w:t>（注）ネットワーク型産業及びその上位分類は、売上（収入）金額を「</w:t>
      </w:r>
      <w:r>
        <w:rPr>
          <w:rFonts w:hint="eastAsia" w:ascii="ＭＳ 明朝" w:hAnsi="ＭＳ 明朝" w:eastAsia="ＭＳ 明朝"/>
          <w:color w:val="auto"/>
          <w:sz w:val="20"/>
        </w:rPr>
        <w:t>...</w:t>
      </w:r>
      <w:r>
        <w:rPr>
          <w:rFonts w:hint="eastAsia" w:ascii="ＭＳ 明朝" w:hAnsi="ＭＳ 明朝" w:eastAsia="ＭＳ 明朝"/>
          <w:color w:val="auto"/>
          <w:sz w:val="20"/>
        </w:rPr>
        <w:t>」としている</w:t>
      </w:r>
    </w:p>
    <w:p>
      <w:pPr>
        <w:pStyle w:val="0"/>
        <w:spacing w:line="0" w:lineRule="atLeast"/>
        <w:ind w:left="840" w:leftChars="400" w:firstLine="0" w:firstLineChars="0"/>
        <w:jc w:val="left"/>
        <w:rPr>
          <w:rFonts w:hint="default" w:ascii="ＭＳ 明朝" w:hAnsi="ＭＳ 明朝" w:eastAsia="ＭＳ 明朝"/>
          <w:color w:val="auto"/>
          <w:sz w:val="24"/>
        </w:rPr>
      </w:pPr>
      <w:r>
        <w:rPr>
          <w:rFonts w:hint="eastAsia" w:ascii="ＭＳ 明朝" w:hAnsi="ＭＳ 明朝" w:eastAsia="ＭＳ 明朝"/>
          <w:color w:val="auto"/>
          <w:sz w:val="20"/>
        </w:rPr>
        <w:t>「ネットワーク型産業」とは、産業分類が「建設業」、「電気・ガス・熱供給・水道業」、「通信業」、「放送業」、「映像・音声・文字情報制作業」、「運輸業，郵便業」、「金融業，保険業」、「学校教育」、「郵便局」「政治・経済・文化団体」及び「宗教」をいう。</w:t>
      </w:r>
    </w:p>
    <w:p>
      <w:pPr>
        <w:pStyle w:val="0"/>
        <w:spacing w:line="0" w:lineRule="atLeast"/>
        <w:ind w:left="720" w:hanging="720" w:hangingChars="300"/>
        <w:jc w:val="left"/>
        <w:rPr>
          <w:rFonts w:hint="default" w:ascii="ＭＳ 明朝" w:hAnsi="ＭＳ 明朝" w:eastAsia="ＭＳ 明朝"/>
          <w:color w:val="auto"/>
          <w:sz w:val="24"/>
        </w:rPr>
      </w:pPr>
    </w:p>
    <w:p>
      <w:pPr>
        <w:pStyle w:val="0"/>
        <w:spacing w:line="0" w:lineRule="atLeast"/>
        <w:ind w:left="720" w:hanging="720" w:hangingChars="300"/>
        <w:jc w:val="left"/>
        <w:rPr>
          <w:rFonts w:hint="default" w:ascii="ＭＳ 明朝" w:hAnsi="ＭＳ 明朝" w:eastAsia="ＭＳ 明朝"/>
          <w:color w:val="auto"/>
          <w:sz w:val="24"/>
        </w:rPr>
      </w:pPr>
    </w:p>
    <w:p>
      <w:pPr>
        <w:pStyle w:val="0"/>
        <w:spacing w:line="0" w:lineRule="atLeast"/>
        <w:ind w:left="720" w:hanging="720" w:hangingChars="300"/>
        <w:jc w:val="left"/>
        <w:rPr>
          <w:rFonts w:hint="default" w:ascii="ＭＳ 明朝" w:hAnsi="ＭＳ 明朝" w:eastAsia="ＭＳ 明朝"/>
          <w:color w:val="auto"/>
          <w:sz w:val="24"/>
        </w:rPr>
      </w:pPr>
    </w:p>
    <w:p>
      <w:pPr>
        <w:pStyle w:val="0"/>
        <w:spacing w:line="0" w:lineRule="atLeast"/>
        <w:ind w:left="720" w:hanging="720" w:hangingChars="300"/>
        <w:jc w:val="left"/>
        <w:rPr>
          <w:rFonts w:hint="default" w:ascii="ＭＳ 明朝" w:hAnsi="ＭＳ 明朝" w:eastAsia="ＭＳ 明朝"/>
          <w:color w:val="auto"/>
          <w:sz w:val="24"/>
        </w:rPr>
      </w:pPr>
      <w:bookmarkStart w:id="0" w:name="_GoBack"/>
      <w:bookmarkEnd w:id="0"/>
    </w:p>
    <w:p>
      <w:pPr>
        <w:pStyle w:val="0"/>
        <w:jc w:val="lef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４　産業大分類別付加価値額の状況</w:t>
      </w:r>
    </w:p>
    <w:p>
      <w:pPr>
        <w:pStyle w:val="0"/>
        <w:ind w:left="239" w:leftChars="114" w:rightChars="0" w:firstLine="220" w:firstLineChars="1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産業大分類別に付加価値額をみると、「</w:t>
      </w:r>
      <w:r>
        <w:rPr>
          <w:rFonts w:hint="eastAsia" w:ascii="ＭＳ 明朝" w:hAnsi="ＭＳ 明朝" w:eastAsia="ＭＳ 明朝"/>
          <w:color w:val="auto"/>
          <w:kern w:val="0"/>
          <w:sz w:val="22"/>
        </w:rPr>
        <w:t>E</w:t>
      </w:r>
      <w:r>
        <w:rPr>
          <w:rFonts w:hint="eastAsia" w:ascii="ＭＳ 明朝" w:hAnsi="ＭＳ 明朝" w:eastAsia="ＭＳ 明朝"/>
          <w:color w:val="auto"/>
          <w:kern w:val="0"/>
          <w:sz w:val="22"/>
        </w:rPr>
        <w:t>製造業」が</w:t>
      </w:r>
      <w:r>
        <w:rPr>
          <w:rFonts w:hint="default" w:ascii="ＭＳ 明朝" w:hAnsi="ＭＳ 明朝" w:eastAsia="ＭＳ 明朝"/>
          <w:color w:val="auto"/>
          <w:kern w:val="0"/>
          <w:sz w:val="22"/>
        </w:rPr>
        <w:t>6</w:t>
      </w:r>
      <w:r>
        <w:rPr>
          <w:rFonts w:hint="eastAsia" w:ascii="ＭＳ 明朝" w:hAnsi="ＭＳ 明朝" w:eastAsia="ＭＳ 明朝"/>
          <w:color w:val="auto"/>
          <w:kern w:val="0"/>
          <w:sz w:val="22"/>
        </w:rPr>
        <w:t>8</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548</w:t>
      </w:r>
      <w:r>
        <w:rPr>
          <w:rFonts w:hint="eastAsia" w:ascii="ＭＳ 明朝" w:hAnsi="ＭＳ 明朝" w:eastAsia="ＭＳ 明朝"/>
          <w:color w:val="auto"/>
          <w:kern w:val="0"/>
          <w:sz w:val="22"/>
        </w:rPr>
        <w:t>百万円と最も多く、次いで「</w:t>
      </w:r>
      <w:r>
        <w:rPr>
          <w:rFonts w:hint="eastAsia" w:ascii="ＭＳ 明朝" w:hAnsi="ＭＳ 明朝" w:eastAsia="ＭＳ 明朝"/>
          <w:color w:val="auto"/>
          <w:kern w:val="0"/>
          <w:sz w:val="22"/>
        </w:rPr>
        <w:t xml:space="preserve">I </w:t>
      </w:r>
      <w:r>
        <w:rPr>
          <w:rFonts w:hint="eastAsia" w:ascii="ＭＳ 明朝" w:hAnsi="ＭＳ 明朝" w:eastAsia="ＭＳ 明朝"/>
          <w:color w:val="auto"/>
          <w:kern w:val="0"/>
          <w:sz w:val="22"/>
        </w:rPr>
        <w:t>卸売業，小売業」が</w:t>
      </w:r>
      <w:r>
        <w:rPr>
          <w:rFonts w:hint="default" w:ascii="ＭＳ 明朝" w:hAnsi="ＭＳ 明朝" w:eastAsia="ＭＳ 明朝"/>
          <w:color w:val="auto"/>
          <w:kern w:val="0"/>
          <w:sz w:val="22"/>
        </w:rPr>
        <w:t>5</w:t>
      </w:r>
      <w:r>
        <w:rPr>
          <w:rFonts w:hint="eastAsia" w:ascii="ＭＳ 明朝" w:hAnsi="ＭＳ 明朝" w:eastAsia="ＭＳ 明朝"/>
          <w:color w:val="auto"/>
          <w:kern w:val="0"/>
          <w:sz w:val="22"/>
        </w:rPr>
        <w:t>7</w:t>
      </w:r>
      <w:r>
        <w:rPr>
          <w:rFonts w:hint="default" w:ascii="ＭＳ 明朝" w:hAnsi="ＭＳ 明朝" w:eastAsia="ＭＳ 明朝"/>
          <w:color w:val="auto"/>
          <w:kern w:val="0"/>
          <w:sz w:val="22"/>
        </w:rPr>
        <w:t>,</w:t>
      </w:r>
      <w:r>
        <w:rPr>
          <w:rFonts w:hint="eastAsia" w:ascii="ＭＳ 明朝" w:hAnsi="ＭＳ 明朝" w:eastAsia="ＭＳ 明朝"/>
          <w:color w:val="auto"/>
          <w:kern w:val="0"/>
          <w:sz w:val="22"/>
        </w:rPr>
        <w:t>092</w:t>
      </w:r>
      <w:r>
        <w:rPr>
          <w:rFonts w:hint="eastAsia" w:ascii="ＭＳ 明朝" w:hAnsi="ＭＳ 明朝" w:eastAsia="ＭＳ 明朝"/>
          <w:color w:val="auto"/>
          <w:kern w:val="0"/>
          <w:sz w:val="22"/>
        </w:rPr>
        <w:t>百万円の順となった。</w:t>
      </w:r>
    </w:p>
    <w:p>
      <w:pPr>
        <w:pStyle w:val="0"/>
        <w:ind w:left="239" w:leftChars="114" w:rightChars="0" w:firstLine="220" w:firstLineChars="10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また、前回調査と比べて、付加価値額の増減率が最も高かったのは、「</w:t>
      </w:r>
      <w:r>
        <w:rPr>
          <w:rFonts w:hint="eastAsia" w:ascii="ＭＳ 明朝" w:hAnsi="ＭＳ 明朝" w:eastAsia="ＭＳ 明朝"/>
          <w:color w:val="auto"/>
          <w:kern w:val="0"/>
          <w:sz w:val="22"/>
        </w:rPr>
        <w:t xml:space="preserve">O </w:t>
      </w:r>
      <w:r>
        <w:rPr>
          <w:rFonts w:hint="eastAsia" w:ascii="ＭＳ 明朝" w:hAnsi="ＭＳ 明朝" w:eastAsia="ＭＳ 明朝"/>
          <w:color w:val="auto"/>
          <w:kern w:val="0"/>
          <w:sz w:val="22"/>
        </w:rPr>
        <w:t>教育，学習支援業」の</w:t>
      </w:r>
      <w:r>
        <w:rPr>
          <w:rFonts w:hint="default" w:ascii="ＭＳ 明朝" w:hAnsi="ＭＳ 明朝" w:eastAsia="ＭＳ 明朝"/>
          <w:color w:val="auto"/>
          <w:kern w:val="0"/>
          <w:sz w:val="22"/>
        </w:rPr>
        <w:t>3,</w:t>
      </w:r>
      <w:r>
        <w:rPr>
          <w:rFonts w:hint="eastAsia" w:ascii="ＭＳ 明朝" w:hAnsi="ＭＳ 明朝" w:eastAsia="ＭＳ 明朝"/>
          <w:color w:val="auto"/>
          <w:kern w:val="0"/>
          <w:sz w:val="22"/>
        </w:rPr>
        <w:t>006</w:t>
      </w:r>
      <w:r>
        <w:rPr>
          <w:rFonts w:hint="eastAsia" w:ascii="ＭＳ 明朝" w:hAnsi="ＭＳ 明朝" w:eastAsia="ＭＳ 明朝"/>
          <w:color w:val="auto"/>
          <w:kern w:val="0"/>
          <w:sz w:val="22"/>
        </w:rPr>
        <w:t>百万円（</w:t>
      </w:r>
      <w:r>
        <w:rPr>
          <w:rFonts w:hint="eastAsia" w:ascii="ＭＳ 明朝" w:hAnsi="ＭＳ 明朝" w:eastAsia="ＭＳ 明朝"/>
          <w:color w:val="auto"/>
          <w:kern w:val="0"/>
          <w:sz w:val="22"/>
        </w:rPr>
        <w:t>322.8%</w:t>
      </w:r>
      <w:r>
        <w:rPr>
          <w:rFonts w:hint="eastAsia" w:ascii="ＭＳ 明朝" w:hAnsi="ＭＳ 明朝" w:eastAsia="ＭＳ 明朝"/>
          <w:color w:val="auto"/>
          <w:kern w:val="0"/>
          <w:sz w:val="22"/>
        </w:rPr>
        <w:t>）であった。一方、最も低かったのは、「</w:t>
      </w:r>
      <w:r>
        <w:rPr>
          <w:rFonts w:hint="eastAsia" w:ascii="ＭＳ 明朝" w:hAnsi="ＭＳ 明朝" w:eastAsia="ＭＳ 明朝"/>
          <w:color w:val="auto"/>
          <w:kern w:val="0"/>
          <w:sz w:val="22"/>
        </w:rPr>
        <w:t xml:space="preserve">Q </w:t>
      </w:r>
      <w:r>
        <w:rPr>
          <w:rFonts w:hint="eastAsia" w:ascii="ＭＳ 明朝" w:hAnsi="ＭＳ 明朝" w:eastAsia="ＭＳ 明朝"/>
          <w:color w:val="auto"/>
          <w:kern w:val="0"/>
          <w:sz w:val="22"/>
        </w:rPr>
        <w:t>複合サービス事業」の</w:t>
      </w:r>
      <w:r>
        <w:rPr>
          <w:rFonts w:hint="eastAsia" w:ascii="ＭＳ 明朝" w:hAnsi="ＭＳ 明朝" w:eastAsia="ＭＳ 明朝"/>
          <w:color w:val="auto"/>
          <w:kern w:val="0"/>
          <w:sz w:val="22"/>
        </w:rPr>
        <w:t>1,878</w:t>
      </w:r>
      <w:r>
        <w:rPr>
          <w:rFonts w:hint="eastAsia" w:ascii="ＭＳ 明朝" w:hAnsi="ＭＳ 明朝" w:eastAsia="ＭＳ 明朝"/>
          <w:color w:val="auto"/>
          <w:kern w:val="0"/>
          <w:sz w:val="22"/>
        </w:rPr>
        <w:t>百万円（△</w:t>
      </w:r>
      <w:r>
        <w:rPr>
          <w:rFonts w:hint="eastAsia" w:ascii="ＭＳ 明朝" w:hAnsi="ＭＳ 明朝" w:eastAsia="ＭＳ 明朝"/>
          <w:color w:val="auto"/>
          <w:kern w:val="0"/>
          <w:sz w:val="22"/>
        </w:rPr>
        <w:t>34.2%</w:t>
      </w:r>
      <w:r>
        <w:rPr>
          <w:rFonts w:hint="eastAsia" w:ascii="ＭＳ 明朝" w:hAnsi="ＭＳ 明朝" w:eastAsia="ＭＳ 明朝"/>
          <w:color w:val="auto"/>
          <w:kern w:val="0"/>
          <w:sz w:val="22"/>
        </w:rPr>
        <w:t>）であった。</w:t>
      </w:r>
    </w:p>
    <w:p>
      <w:pPr>
        <w:pStyle w:val="0"/>
        <w:jc w:val="left"/>
        <w:rPr>
          <w:rFonts w:hint="default" w:ascii="ＭＳ 明朝" w:hAnsi="ＭＳ 明朝" w:eastAsia="ＭＳ 明朝"/>
          <w:color w:val="auto"/>
          <w:sz w:val="22"/>
        </w:rPr>
      </w:pPr>
    </w:p>
    <w:p>
      <w:pPr>
        <w:pStyle w:val="0"/>
        <w:ind w:firstLine="220" w:firstLineChars="10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2"/>
        </w:rPr>
        <w:t>表５　産業大分類別付加価値額</w:t>
      </w:r>
    </w:p>
    <w:tbl>
      <w:tblPr>
        <w:tblStyle w:val="11"/>
        <w:tblW w:w="9665" w:type="dxa"/>
        <w:jc w:val="left"/>
        <w:tblInd w:w="230" w:type="dxa"/>
        <w:tblLayout w:type="fixed"/>
        <w:tblCellMar>
          <w:left w:w="0" w:type="dxa"/>
          <w:right w:w="0" w:type="dxa"/>
        </w:tblCellMar>
        <w:tblLook w:firstRow="1" w:lastRow="0" w:firstColumn="1" w:lastColumn="0" w:noHBand="0" w:noVBand="1" w:val="04A0"/>
      </w:tblPr>
      <w:tblGrid>
        <w:gridCol w:w="4238"/>
        <w:gridCol w:w="1357"/>
        <w:gridCol w:w="1357"/>
        <w:gridCol w:w="1356"/>
        <w:gridCol w:w="1357"/>
      </w:tblGrid>
      <w:tr>
        <w:trPr>
          <w:trHeight w:val="480" w:hRule="atLeast"/>
        </w:trPr>
        <w:tc>
          <w:tcPr>
            <w:tcW w:w="4252" w:type="dxa"/>
            <w:vMerge w:val="restart"/>
            <w:tcBorders>
              <w:top w:val="single" w:color="auto" w:sz="4" w:space="0"/>
              <w:left w:val="single" w:color="auto" w:sz="4" w:space="0"/>
              <w:bottom w:val="single" w:color="000000" w:sz="4" w:space="0"/>
              <w:right w:val="single" w:color="auto" w:sz="4" w:space="0"/>
              <w:tl2br w:val="single" w:color="000000" w:sz="4" w:space="0"/>
              <w:tr2bl w:val="none" w:color="auto" w:sz="0" w:space="0"/>
            </w:tcBorders>
            <w:shd w:val="clear" w:color="auto" w:fill="auto"/>
            <w:vAlign w:val="center"/>
          </w:tcPr>
          <w:p>
            <w:pPr>
              <w:pStyle w:val="0"/>
              <w:ind w:left="4" w:hanging="4" w:hangingChars="2"/>
              <w:jc w:val="left"/>
              <w:rPr>
                <w:rFonts w:hint="default" w:ascii="ＭＳ 明朝" w:hAnsi="ＭＳ 明朝" w:eastAsia="ＭＳ 明朝"/>
                <w:color w:val="auto"/>
                <w:sz w:val="20"/>
              </w:rPr>
            </w:pPr>
            <w:r>
              <w:rPr>
                <w:rFonts w:hint="eastAsia" w:ascii="ＭＳ 明朝" w:hAnsi="ＭＳ 明朝" w:eastAsia="ＭＳ 明朝"/>
                <w:color w:val="auto"/>
                <w:sz w:val="20"/>
              </w:rPr>
              <w:t>　　　　　　　　　　　　　　　　　区分</w:t>
            </w:r>
          </w:p>
          <w:p>
            <w:pPr>
              <w:pStyle w:val="0"/>
              <w:ind w:left="4" w:hanging="4" w:hangingChars="2"/>
              <w:jc w:val="left"/>
              <w:rPr>
                <w:rFonts w:hint="default" w:ascii="ＭＳ 明朝" w:hAnsi="ＭＳ 明朝" w:eastAsia="ＭＳ 明朝"/>
                <w:color w:val="auto"/>
                <w:sz w:val="20"/>
              </w:rPr>
            </w:pPr>
            <w:r>
              <w:rPr>
                <w:rFonts w:hint="eastAsia" w:ascii="ＭＳ 明朝" w:hAnsi="ＭＳ 明朝" w:eastAsia="ＭＳ 明朝"/>
                <w:color w:val="auto"/>
                <w:sz w:val="20"/>
              </w:rPr>
              <w:t>　　　　　</w:t>
            </w:r>
          </w:p>
          <w:p>
            <w:pPr>
              <w:pStyle w:val="0"/>
              <w:ind w:left="0" w:leftChars="2" w:firstLine="0" w:firstLineChars="58"/>
              <w:jc w:val="left"/>
              <w:rPr>
                <w:rFonts w:hint="default" w:ascii="ＭＳ 明朝" w:hAnsi="ＭＳ 明朝" w:eastAsia="ＭＳ 明朝"/>
                <w:color w:val="auto"/>
                <w:sz w:val="20"/>
              </w:rPr>
            </w:pPr>
            <w:r>
              <w:rPr>
                <w:rFonts w:hint="eastAsia" w:ascii="ＭＳ 明朝" w:hAnsi="ＭＳ 明朝" w:eastAsia="ＭＳ 明朝"/>
                <w:color w:val="auto"/>
                <w:sz w:val="20"/>
              </w:rPr>
              <w:t>産業大分類</w:t>
            </w:r>
          </w:p>
        </w:tc>
        <w:tc>
          <w:tcPr>
            <w:tcW w:w="1361"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0" w:lineRule="atLeast"/>
              <w:ind w:left="720" w:hanging="720" w:hangingChars="300"/>
              <w:jc w:val="center"/>
              <w:rPr>
                <w:rFonts w:hint="default" w:ascii="ＭＳ 明朝" w:hAnsi="ＭＳ 明朝" w:eastAsia="ＭＳ 明朝"/>
                <w:color w:val="auto"/>
                <w:sz w:val="20"/>
              </w:rPr>
            </w:pPr>
            <w:r>
              <w:rPr>
                <w:rFonts w:hint="eastAsia" w:ascii="ＭＳ 明朝" w:hAnsi="ＭＳ 明朝" w:eastAsia="ＭＳ 明朝"/>
                <w:color w:val="auto"/>
                <w:sz w:val="20"/>
              </w:rPr>
              <w:t>令和２年</w:t>
            </w:r>
          </w:p>
        </w:tc>
        <w:tc>
          <w:tcPr>
            <w:tcW w:w="136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0" w:lineRule="atLeast"/>
              <w:ind w:left="720" w:hanging="720" w:hangingChars="300"/>
              <w:jc w:val="center"/>
              <w:rPr>
                <w:rFonts w:hint="default" w:ascii="ＭＳ 明朝" w:hAnsi="ＭＳ 明朝" w:eastAsia="ＭＳ 明朝"/>
                <w:color w:val="auto"/>
                <w:sz w:val="20"/>
              </w:rPr>
            </w:pPr>
            <w:r>
              <w:rPr>
                <w:rFonts w:hint="eastAsia" w:ascii="ＭＳ 明朝" w:hAnsi="ＭＳ 明朝" w:eastAsia="ＭＳ 明朝"/>
                <w:color w:val="auto"/>
                <w:sz w:val="20"/>
              </w:rPr>
              <w:t>【参考値】</w:t>
            </w:r>
          </w:p>
          <w:p>
            <w:pPr>
              <w:pStyle w:val="0"/>
              <w:spacing w:line="0" w:lineRule="atLeast"/>
              <w:ind w:left="720" w:hanging="720" w:hangingChars="300"/>
              <w:jc w:val="center"/>
              <w:rPr>
                <w:rFonts w:hint="default" w:ascii="ＭＳ 明朝" w:hAnsi="ＭＳ 明朝" w:eastAsia="ＭＳ 明朝"/>
                <w:color w:val="auto"/>
                <w:sz w:val="20"/>
              </w:rPr>
            </w:pPr>
            <w:r>
              <w:rPr>
                <w:rFonts w:hint="eastAsia" w:ascii="ＭＳ 明朝" w:hAnsi="ＭＳ 明朝" w:eastAsia="ＭＳ 明朝"/>
                <w:color w:val="auto"/>
                <w:sz w:val="20"/>
              </w:rPr>
              <w:t>平成</w:t>
            </w:r>
            <w:r>
              <w:rPr>
                <w:rFonts w:hint="eastAsia" w:ascii="ＭＳ 明朝" w:hAnsi="ＭＳ 明朝" w:eastAsia="ＭＳ 明朝"/>
                <w:color w:val="auto"/>
                <w:sz w:val="20"/>
              </w:rPr>
              <w:t>27</w:t>
            </w:r>
            <w:r>
              <w:rPr>
                <w:rFonts w:hint="eastAsia" w:ascii="ＭＳ 明朝" w:hAnsi="ＭＳ 明朝" w:eastAsia="ＭＳ 明朝"/>
                <w:color w:val="auto"/>
                <w:sz w:val="20"/>
              </w:rPr>
              <w:t>年</w:t>
            </w:r>
          </w:p>
        </w:tc>
      </w:tr>
      <w:tr>
        <w:trPr>
          <w:trHeight w:val="729" w:hRule="atLeast"/>
        </w:trPr>
        <w:tc>
          <w:tcPr>
            <w:tcW w:w="4252"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rPr>
            </w:pPr>
          </w:p>
        </w:tc>
        <w:tc>
          <w:tcPr>
            <w:tcW w:w="136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26" w:hanging="426" w:hangingChars="213"/>
              <w:jc w:val="center"/>
              <w:rPr>
                <w:rFonts w:hint="default" w:ascii="ＭＳ 明朝" w:hAnsi="ＭＳ 明朝" w:eastAsia="ＭＳ 明朝"/>
                <w:color w:val="auto"/>
                <w:sz w:val="20"/>
              </w:rPr>
            </w:pPr>
            <w:r>
              <w:rPr>
                <w:rFonts w:hint="eastAsia" w:ascii="ＭＳ 明朝" w:hAnsi="ＭＳ 明朝" w:eastAsia="ＭＳ 明朝"/>
                <w:color w:val="auto"/>
                <w:sz w:val="20"/>
              </w:rPr>
              <w:t>付加価値額</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426" w:hanging="426" w:hangingChars="213"/>
              <w:jc w:val="center"/>
              <w:rPr>
                <w:rFonts w:hint="default" w:ascii="ＭＳ 明朝" w:hAnsi="ＭＳ 明朝" w:eastAsia="ＭＳ 明朝"/>
                <w:color w:val="auto"/>
                <w:sz w:val="20"/>
              </w:rPr>
            </w:pPr>
            <w:r>
              <w:rPr>
                <w:rFonts w:hint="eastAsia" w:ascii="ＭＳ 明朝" w:hAnsi="ＭＳ 明朝" w:eastAsia="ＭＳ 明朝"/>
                <w:color w:val="auto"/>
                <w:sz w:val="20"/>
              </w:rPr>
              <w:t>増減数</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426" w:hanging="426" w:hangingChars="213"/>
              <w:jc w:val="center"/>
              <w:rPr>
                <w:rFonts w:hint="default" w:ascii="ＭＳ 明朝" w:hAnsi="ＭＳ 明朝" w:eastAsia="ＭＳ 明朝"/>
                <w:color w:val="auto"/>
                <w:sz w:val="20"/>
              </w:rPr>
            </w:pPr>
            <w:r>
              <w:rPr>
                <w:rFonts w:hint="eastAsia" w:ascii="ＭＳ 明朝" w:hAnsi="ＭＳ 明朝" w:eastAsia="ＭＳ 明朝"/>
                <w:color w:val="auto"/>
                <w:sz w:val="20"/>
              </w:rPr>
              <w:t>増減率</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426" w:hanging="426" w:hangingChars="213"/>
              <w:jc w:val="center"/>
              <w:rPr>
                <w:rFonts w:hint="default" w:ascii="ＭＳ 明朝" w:hAnsi="ＭＳ 明朝" w:eastAsia="ＭＳ 明朝"/>
                <w:color w:val="auto"/>
                <w:sz w:val="20"/>
              </w:rPr>
            </w:pPr>
            <w:r>
              <w:rPr>
                <w:rFonts w:hint="eastAsia" w:ascii="ＭＳ 明朝" w:hAnsi="ＭＳ 明朝" w:eastAsia="ＭＳ 明朝"/>
                <w:color w:val="auto"/>
                <w:sz w:val="20"/>
              </w:rPr>
              <w:t>付加価値額</w:t>
            </w:r>
          </w:p>
        </w:tc>
      </w:tr>
      <w:tr>
        <w:trPr>
          <w:trHeight w:val="300" w:hRule="atLeast"/>
        </w:trPr>
        <w:tc>
          <w:tcPr>
            <w:tcW w:w="4252"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ind w:left="426" w:hanging="426" w:hangingChars="213"/>
              <w:jc w:val="left"/>
              <w:rPr>
                <w:rFonts w:hint="default" w:ascii="ＭＳ 明朝" w:hAnsi="ＭＳ 明朝" w:eastAsia="ＭＳ 明朝"/>
                <w:color w:val="auto"/>
                <w:sz w:val="20"/>
              </w:rPr>
            </w:pPr>
            <w:r>
              <w:rPr>
                <w:rFonts w:hint="default" w:ascii="ＭＳ 明朝" w:hAnsi="ＭＳ 明朝" w:eastAsia="ＭＳ 明朝"/>
                <w:color w:val="auto"/>
                <w:sz w:val="20"/>
              </w:rPr>
              <w:t>　</w:t>
            </w:r>
          </w:p>
        </w:tc>
        <w:tc>
          <w:tcPr>
            <w:tcW w:w="1361"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ordWrap w:val="0"/>
              <w:ind w:left="426" w:hanging="426" w:hangingChars="213"/>
              <w:jc w:val="right"/>
              <w:rPr>
                <w:rFonts w:hint="default" w:ascii="ＭＳ 明朝" w:hAnsi="ＭＳ 明朝" w:eastAsia="ＭＳ 明朝"/>
                <w:color w:val="auto"/>
                <w:sz w:val="20"/>
              </w:rPr>
            </w:pPr>
            <w:r>
              <w:rPr>
                <w:rFonts w:hint="eastAsia" w:ascii="ＭＳ 明朝" w:hAnsi="ＭＳ 明朝" w:eastAsia="ＭＳ 明朝"/>
                <w:color w:val="auto"/>
                <w:sz w:val="20"/>
              </w:rPr>
              <w:t>百万円</w:t>
            </w:r>
            <w:r>
              <w:rPr>
                <w:rFonts w:hint="eastAsia" w:ascii="ＭＳ 明朝" w:hAnsi="ＭＳ 明朝" w:eastAsia="ＭＳ 明朝"/>
                <w:color w:val="auto"/>
                <w:sz w:val="20"/>
              </w:rPr>
              <w:t xml:space="preserve"> </w:t>
            </w:r>
          </w:p>
        </w:tc>
        <w:tc>
          <w:tcPr>
            <w:tcW w:w="1361"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ordWrap w:val="0"/>
              <w:ind w:left="426" w:hanging="426" w:hangingChars="213"/>
              <w:jc w:val="right"/>
              <w:rPr>
                <w:rFonts w:hint="default" w:ascii="ＭＳ 明朝" w:hAnsi="ＭＳ 明朝" w:eastAsia="ＭＳ 明朝"/>
                <w:color w:val="auto"/>
                <w:sz w:val="20"/>
              </w:rPr>
            </w:pPr>
            <w:r>
              <w:rPr>
                <w:rFonts w:hint="eastAsia" w:ascii="ＭＳ 明朝" w:hAnsi="ＭＳ 明朝" w:eastAsia="ＭＳ 明朝"/>
                <w:color w:val="auto"/>
                <w:sz w:val="20"/>
              </w:rPr>
              <w:t>百万円</w:t>
            </w:r>
            <w:r>
              <w:rPr>
                <w:rFonts w:hint="eastAsia" w:ascii="ＭＳ 明朝" w:hAnsi="ＭＳ 明朝" w:eastAsia="ＭＳ 明朝"/>
                <w:color w:val="auto"/>
                <w:sz w:val="20"/>
              </w:rPr>
              <w:t xml:space="preserve"> </w:t>
            </w:r>
          </w:p>
        </w:tc>
        <w:tc>
          <w:tcPr>
            <w:tcW w:w="1361"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ordWrap w:val="0"/>
              <w:ind w:left="426" w:hanging="426" w:hangingChars="213"/>
              <w:jc w:val="right"/>
              <w:rPr>
                <w:rFonts w:hint="default" w:ascii="ＭＳ 明朝" w:hAnsi="ＭＳ 明朝" w:eastAsia="ＭＳ 明朝"/>
                <w:color w:val="auto"/>
                <w:sz w:val="20"/>
              </w:rPr>
            </w:pPr>
            <w:r>
              <w:rPr>
                <w:rFonts w:hint="eastAsia" w:ascii="ＭＳ 明朝" w:hAnsi="ＭＳ 明朝" w:eastAsia="ＭＳ 明朝"/>
                <w:color w:val="auto"/>
                <w:sz w:val="20"/>
              </w:rPr>
              <w:t>％</w:t>
            </w:r>
            <w:r>
              <w:rPr>
                <w:rFonts w:hint="eastAsia" w:ascii="ＭＳ 明朝" w:hAnsi="ＭＳ 明朝" w:eastAsia="ＭＳ 明朝"/>
                <w:color w:val="auto"/>
                <w:sz w:val="20"/>
              </w:rPr>
              <w:t xml:space="preserve"> </w:t>
            </w:r>
          </w:p>
        </w:tc>
        <w:tc>
          <w:tcPr>
            <w:tcW w:w="1361"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ordWrap w:val="0"/>
              <w:ind w:left="426" w:hanging="426" w:hangingChars="213"/>
              <w:jc w:val="right"/>
              <w:rPr>
                <w:rFonts w:hint="default" w:ascii="ＭＳ 明朝" w:hAnsi="ＭＳ 明朝" w:eastAsia="ＭＳ 明朝"/>
                <w:color w:val="auto"/>
                <w:sz w:val="20"/>
              </w:rPr>
            </w:pPr>
            <w:r>
              <w:rPr>
                <w:rFonts w:hint="eastAsia" w:ascii="ＭＳ 明朝" w:hAnsi="ＭＳ 明朝" w:eastAsia="ＭＳ 明朝"/>
                <w:color w:val="auto"/>
                <w:sz w:val="20"/>
              </w:rPr>
              <w:t>百万円</w:t>
            </w:r>
            <w:r>
              <w:rPr>
                <w:rFonts w:hint="eastAsia" w:ascii="ＭＳ 明朝" w:hAnsi="ＭＳ 明朝" w:eastAsia="ＭＳ 明朝"/>
                <w:color w:val="auto"/>
                <w:sz w:val="20"/>
              </w:rPr>
              <w:t xml:space="preserve"> </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105" w:leftChars="50" w:firstLineChars="0"/>
              <w:jc w:val="lef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A</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R</w:t>
            </w:r>
            <w:r>
              <w:rPr>
                <w:rFonts w:hint="eastAsia" w:ascii="ＭＳ ゴシック" w:hAnsi="ＭＳ ゴシック" w:eastAsia="ＭＳ ゴシック"/>
                <w:color w:val="auto"/>
                <w:sz w:val="20"/>
              </w:rPr>
              <w:t>　全産業（Ｓ公務を除く）</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210,771</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15,296</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7.8</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eastAsia" w:ascii="ＭＳ ゴシック" w:hAnsi="ＭＳ ゴシック" w:eastAsia="ＭＳ ゴシック"/>
                <w:b w:val="0"/>
                <w:i w:val="0"/>
                <w:smallCaps w:val="0"/>
                <w:color w:val="auto"/>
                <w:sz w:val="20"/>
              </w:rPr>
            </w:pPr>
            <w:r>
              <w:rPr>
                <w:rFonts w:hint="eastAsia" w:ascii="ＭＳ ゴシック" w:hAnsi="ＭＳ ゴシック" w:eastAsia="ＭＳ ゴシック"/>
                <w:b w:val="0"/>
                <w:i w:val="0"/>
                <w:smallCaps w:val="0"/>
                <w:color w:val="auto"/>
                <w:sz w:val="20"/>
              </w:rPr>
              <w:t>195,475</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A</w:t>
            </w:r>
            <w:r>
              <w:rPr>
                <w:rFonts w:hint="eastAsia" w:ascii="ＭＳ 明朝" w:hAnsi="ＭＳ 明朝" w:eastAsia="ＭＳ 明朝"/>
                <w:color w:val="auto"/>
                <w:sz w:val="20"/>
              </w:rPr>
              <w:t>～</w:t>
            </w:r>
            <w:r>
              <w:rPr>
                <w:rFonts w:hint="eastAsia" w:ascii="ＭＳ 明朝" w:hAnsi="ＭＳ 明朝" w:eastAsia="ＭＳ 明朝"/>
                <w:color w:val="auto"/>
                <w:sz w:val="20"/>
              </w:rPr>
              <w:t xml:space="preserve">B </w:t>
            </w:r>
            <w:r>
              <w:rPr>
                <w:rFonts w:hint="eastAsia" w:ascii="ＭＳ 明朝" w:hAnsi="ＭＳ 明朝" w:eastAsia="ＭＳ 明朝"/>
                <w:color w:val="auto"/>
                <w:sz w:val="20"/>
              </w:rPr>
              <w:t>農林漁業（個人経営を除く）</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452</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82</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15.4</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534</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C </w:t>
            </w:r>
            <w:r>
              <w:rPr>
                <w:rFonts w:hint="eastAsia" w:ascii="ＭＳ 明朝" w:hAnsi="ＭＳ 明朝" w:eastAsia="ＭＳ 明朝"/>
                <w:color w:val="auto"/>
                <w:sz w:val="20"/>
              </w:rPr>
              <w:t>鉱業，採石業，砂利採取業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X</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X</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D </w:t>
            </w:r>
            <w:r>
              <w:rPr>
                <w:rFonts w:hint="eastAsia" w:ascii="ＭＳ 明朝" w:hAnsi="ＭＳ 明朝" w:eastAsia="ＭＳ 明朝"/>
                <w:color w:val="auto"/>
                <w:sz w:val="20"/>
              </w:rPr>
              <w:t>建設業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15,163</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274</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1.8</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15,437</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E </w:t>
            </w:r>
            <w:r>
              <w:rPr>
                <w:rFonts w:hint="eastAsia" w:ascii="ＭＳ 明朝" w:hAnsi="ＭＳ 明朝" w:eastAsia="ＭＳ 明朝"/>
                <w:color w:val="auto"/>
                <w:sz w:val="20"/>
              </w:rPr>
              <w:t>製造業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68,548</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7,124</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11.6</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61,424</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F </w:t>
            </w:r>
            <w:r>
              <w:rPr>
                <w:rFonts w:hint="eastAsia" w:ascii="ＭＳ 明朝" w:hAnsi="ＭＳ 明朝" w:eastAsia="ＭＳ 明朝"/>
                <w:color w:val="auto"/>
                <w:sz w:val="20"/>
              </w:rPr>
              <w:t>電気・ガス・熱供給・水道業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X</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3,202</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G </w:t>
            </w:r>
            <w:r>
              <w:rPr>
                <w:rFonts w:hint="eastAsia" w:ascii="ＭＳ 明朝" w:hAnsi="ＭＳ 明朝" w:eastAsia="ＭＳ 明朝"/>
                <w:color w:val="auto"/>
                <w:sz w:val="20"/>
              </w:rPr>
              <w:t>情報通信業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1,053</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133</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11.2</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1,186</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H </w:t>
            </w:r>
            <w:r>
              <w:rPr>
                <w:rFonts w:hint="eastAsia" w:ascii="ＭＳ 明朝" w:hAnsi="ＭＳ 明朝" w:eastAsia="ＭＳ 明朝"/>
                <w:color w:val="auto"/>
                <w:sz w:val="20"/>
              </w:rPr>
              <w:t>運輸業，郵便業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8,494</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X</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I </w:t>
            </w:r>
            <w:r>
              <w:rPr>
                <w:rFonts w:hint="eastAsia" w:ascii="ＭＳ 明朝" w:hAnsi="ＭＳ 明朝" w:eastAsia="ＭＳ 明朝"/>
                <w:color w:val="auto"/>
                <w:sz w:val="20"/>
              </w:rPr>
              <w:t>卸売業，小売業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57,092</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1,236</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2.2</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55,856</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J </w:t>
            </w:r>
            <w:r>
              <w:rPr>
                <w:rFonts w:hint="eastAsia" w:ascii="ＭＳ 明朝" w:hAnsi="ＭＳ 明朝" w:eastAsia="ＭＳ 明朝"/>
                <w:color w:val="auto"/>
                <w:sz w:val="20"/>
              </w:rPr>
              <w:t>金融業，保険業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6,586</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994</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13.1</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7,580</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K </w:t>
            </w:r>
            <w:r>
              <w:rPr>
                <w:rFonts w:hint="eastAsia" w:ascii="ＭＳ 明朝" w:hAnsi="ＭＳ 明朝" w:eastAsia="ＭＳ 明朝"/>
                <w:color w:val="auto"/>
                <w:sz w:val="20"/>
              </w:rPr>
              <w:t>不動産業，物品賃貸業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2,413</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366</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17.9</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2,047</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L </w:t>
            </w:r>
            <w:r>
              <w:rPr>
                <w:rFonts w:hint="eastAsia" w:ascii="ＭＳ 明朝" w:hAnsi="ＭＳ 明朝" w:eastAsia="ＭＳ 明朝"/>
                <w:color w:val="auto"/>
                <w:sz w:val="20"/>
              </w:rPr>
              <w:t>学術研究，専門・技術サービス業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4,268</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1,444</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51.1</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2,824</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M </w:t>
            </w:r>
            <w:r>
              <w:rPr>
                <w:rFonts w:hint="eastAsia" w:ascii="ＭＳ 明朝" w:hAnsi="ＭＳ 明朝" w:eastAsia="ＭＳ 明朝"/>
                <w:color w:val="auto"/>
                <w:sz w:val="20"/>
              </w:rPr>
              <w:t>宿泊業，飲食サービス業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4,958</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479</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8.8</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5,437</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N </w:t>
            </w:r>
            <w:r>
              <w:rPr>
                <w:rFonts w:hint="eastAsia" w:ascii="ＭＳ 明朝" w:hAnsi="ＭＳ 明朝" w:eastAsia="ＭＳ 明朝"/>
                <w:color w:val="auto"/>
                <w:sz w:val="20"/>
              </w:rPr>
              <w:t>生活関連サービス業，娯楽業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3,366</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2,007</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147.7</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1,359</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O </w:t>
            </w:r>
            <w:r>
              <w:rPr>
                <w:rFonts w:hint="eastAsia" w:ascii="ＭＳ 明朝" w:hAnsi="ＭＳ 明朝" w:eastAsia="ＭＳ 明朝"/>
                <w:color w:val="auto"/>
                <w:sz w:val="20"/>
              </w:rPr>
              <w:t>教育，学習支援業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3,006</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2,295</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322.8</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711</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P </w:t>
            </w:r>
            <w:r>
              <w:rPr>
                <w:rFonts w:hint="eastAsia" w:ascii="ＭＳ 明朝" w:hAnsi="ＭＳ 明朝" w:eastAsia="ＭＳ 明朝"/>
                <w:color w:val="auto"/>
                <w:sz w:val="20"/>
              </w:rPr>
              <w:t>医療，福祉</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24,048</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3,241</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15.6</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20,807</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Q </w:t>
            </w:r>
            <w:r>
              <w:rPr>
                <w:rFonts w:hint="eastAsia" w:ascii="ＭＳ 明朝" w:hAnsi="ＭＳ 明朝" w:eastAsia="ＭＳ 明朝"/>
                <w:color w:val="auto"/>
                <w:sz w:val="20"/>
              </w:rPr>
              <w:t>複合サービス事業</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1,878</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975</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 34.2</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2,853</w:t>
            </w:r>
          </w:p>
        </w:tc>
      </w:tr>
      <w:tr>
        <w:trPr>
          <w:trHeight w:val="397" w:hRule="atLeast"/>
        </w:trPr>
        <w:tc>
          <w:tcPr>
            <w:tcW w:w="42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leftChars="100" w:hanging="226" w:hangingChars="113"/>
              <w:jc w:val="left"/>
              <w:rPr>
                <w:rFonts w:hint="default" w:ascii="ＭＳ 明朝" w:hAnsi="ＭＳ 明朝" w:eastAsia="ＭＳ 明朝"/>
                <w:color w:val="auto"/>
                <w:sz w:val="20"/>
              </w:rPr>
            </w:pPr>
            <w:r>
              <w:rPr>
                <w:rFonts w:hint="eastAsia" w:ascii="ＭＳ 明朝" w:hAnsi="ＭＳ 明朝" w:eastAsia="ＭＳ 明朝"/>
                <w:color w:val="auto"/>
                <w:sz w:val="20"/>
              </w:rPr>
              <w:t xml:space="preserve">R </w:t>
            </w:r>
            <w:r>
              <w:rPr>
                <w:rFonts w:hint="eastAsia" w:ascii="ＭＳ 明朝" w:hAnsi="ＭＳ 明朝" w:eastAsia="ＭＳ 明朝"/>
                <w:color w:val="auto"/>
                <w:sz w:val="20"/>
              </w:rPr>
              <w:t>サービス業（他に分類されないもの）</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6,687</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204</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3.1</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ordWrap w:val="0"/>
              <w:spacing w:line="240" w:lineRule="auto"/>
              <w:ind w:right="105" w:rightChars="50"/>
              <w:jc w:val="right"/>
              <w:rPr>
                <w:rFonts w:hint="default" w:ascii="ＭＳ 明朝" w:hAnsi="ＭＳ 明朝" w:eastAsia="ＭＳ 明朝"/>
                <w:b w:val="0"/>
                <w:i w:val="0"/>
                <w:smallCaps w:val="0"/>
                <w:color w:val="auto"/>
                <w:sz w:val="20"/>
              </w:rPr>
            </w:pPr>
            <w:r>
              <w:rPr>
                <w:rFonts w:hint="default" w:ascii="ＭＳ 明朝" w:hAnsi="ＭＳ 明朝" w:eastAsia="ＭＳ 明朝"/>
                <w:b w:val="0"/>
                <w:i w:val="0"/>
                <w:smallCaps w:val="0"/>
                <w:color w:val="auto"/>
                <w:sz w:val="20"/>
              </w:rPr>
              <w:t>6,483</w:t>
            </w:r>
          </w:p>
        </w:tc>
      </w:tr>
    </w:tbl>
    <w:p>
      <w:pPr>
        <w:pStyle w:val="0"/>
        <w:rPr>
          <w:rFonts w:hint="default"/>
          <w:color w:val="auto"/>
          <w:sz w:val="18"/>
        </w:rPr>
      </w:pPr>
      <w:r>
        <w:rPr>
          <w:rFonts w:hint="eastAsia" w:eastAsia="ＭＳ 明朝"/>
          <w:color w:val="auto"/>
          <w:sz w:val="22"/>
        </w:rPr>
        <w:t>　</w:t>
      </w:r>
      <w:r>
        <w:rPr>
          <w:rFonts w:hint="eastAsia" w:eastAsia="ＭＳ 明朝"/>
          <w:color w:val="auto"/>
          <w:sz w:val="20"/>
        </w:rPr>
        <w:t>（注）</w:t>
      </w:r>
      <w:r>
        <w:rPr>
          <w:rFonts w:hint="eastAsia"/>
          <w:color w:val="auto"/>
          <w:sz w:val="20"/>
        </w:rPr>
        <w:t>「外国の会社」及び「法人でない団体」を除く。</w:t>
      </w:r>
    </w:p>
    <w:p>
      <w:pPr>
        <w:pStyle w:val="0"/>
        <w:ind w:left="600" w:hanging="600" w:hangingChars="300"/>
        <w:rPr>
          <w:rFonts w:hint="default"/>
          <w:color w:val="auto"/>
        </w:rPr>
      </w:pPr>
      <w:r>
        <w:rPr>
          <w:rFonts w:hint="eastAsia"/>
          <w:color w:val="auto"/>
          <w:sz w:val="20"/>
        </w:rPr>
        <w:t>　（注）「付加価値額」は、必要な事項の数値が得られた事業所を対象として集計（企業単位で把握した付加価値額を事業従業者数により傘下事業所にあん分）した。</w:t>
      </w:r>
    </w:p>
    <w:p>
      <w:pPr>
        <w:pStyle w:val="0"/>
        <w:ind w:left="426" w:hanging="426" w:hangingChars="213"/>
        <w:jc w:val="left"/>
        <w:rPr>
          <w:rFonts w:hint="default" w:ascii="ＭＳ 明朝" w:hAnsi="ＭＳ 明朝" w:eastAsia="ＭＳ 明朝"/>
          <w:color w:val="auto"/>
          <w:sz w:val="20"/>
        </w:rPr>
      </w:pPr>
    </w:p>
    <w:p>
      <w:pPr>
        <w:pStyle w:val="0"/>
        <w:ind w:left="426" w:hanging="426" w:hangingChars="213"/>
        <w:jc w:val="left"/>
        <w:rPr>
          <w:rFonts w:hint="default" w:ascii="ＭＳ 明朝" w:hAnsi="ＭＳ 明朝" w:eastAsia="ＭＳ 明朝"/>
          <w:color w:val="auto"/>
          <w:sz w:val="20"/>
        </w:rPr>
      </w:pPr>
    </w:p>
    <w:p>
      <w:pPr>
        <w:pStyle w:val="0"/>
        <w:ind w:left="426" w:hanging="426" w:hangingChars="213"/>
        <w:jc w:val="left"/>
        <w:rPr>
          <w:rFonts w:hint="default" w:ascii="ＭＳ 明朝" w:hAnsi="ＭＳ 明朝" w:eastAsia="ＭＳ 明朝"/>
          <w:color w:val="auto"/>
          <w:sz w:val="20"/>
        </w:rPr>
      </w:pPr>
    </w:p>
    <w:sectPr>
      <w:footerReference r:id="rId5" w:type="default"/>
      <w:pgSz w:w="11906" w:h="16838"/>
      <w:pgMar w:top="1200" w:right="975" w:bottom="851" w:left="851" w:header="851" w:footer="567" w:gutter="0"/>
      <w:pgNumType w:start="11"/>
      <w:cols w:space="720"/>
      <w:textDirection w:val="lrTb"/>
      <w:docGrid w:type="line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ゴシック">
    <w:panose1 w:val="00000000000000000000"/>
    <w:charset w:val="0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60270699"/>
      <w:docPartObj>
        <w:docPartGallery w:val="Page Numbers (Bottom of Page)"/>
        <w:docPartUnique/>
      </w:docPartObj>
    </w:sdtPr>
    <w:sdtEndPr>
      <w:rPr>
        <w:rFonts w:hint="default" w:ascii="ＭＳ 明朝" w:hAnsi="ＭＳ 明朝" w:eastAsia="ＭＳ 明朝"/>
        <w:sz w:val="22"/>
      </w:rPr>
    </w:sdtEndPr>
    <w:sdtContent>
      <w:p>
        <w:pPr>
          <w:pStyle w:val="17"/>
          <w:jc w:val="center"/>
          <w:rPr>
            <w:rFonts w:hint="default" w:ascii="ＭＳ 明朝" w:hAnsi="ＭＳ 明朝" w:eastAsia="ＭＳ 明朝"/>
            <w:sz w:val="22"/>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2"/>
          </w:rPr>
          <w:t>16</w:t>
        </w:r>
        <w:r>
          <w:rPr>
            <w:rFonts w:hint="eastAsia"/>
          </w:rPr>
          <w:fldChar w:fldCharType="end"/>
        </w:r>
      </w:p>
    </w:sdtContent>
  </w:sdt>
  <w:p>
    <w:pPr>
      <w:pStyle w:val="17"/>
      <w:rPr>
        <w:rFonts w:hint="default" w:ascii="ＭＳ 明朝" w:hAnsi="ＭＳ 明朝" w:eastAsia="ＭＳ 明朝"/>
        <w:sz w:val="22"/>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T:\040-&#36001;&#21209;&#35506;\020-&#32113;&#35336;&#12539;&#22865;&#32004;&#20418;\&#215;&#20351;&#12431;&#12394;&#12356;&#215;200_&#32113;&#35336;&#38306;&#20418;\&#9632;&#19977;&#26465;&#24066;&#12398;&#20107;&#26989;&#25152;\&#9679;&#32076;&#28168;&#12475;&#12531;&#12469;&#12473;&#32080;&#26524;&#22577;&#21578;&#26360;\R3&#19977;&#26465;&#24066;&#12398;&#20107;&#26989;&#25152;(R3&#32076;&#28168;&#12475;&#12531;&#12469;&#12473;-&#27963;&#21205;&#35519;&#26619;&#12363;&#12425;)\01_&#20316;&#26989;&#29992;\00&#12288;&#32080;&#26524;&#12398;&#27010;&#35201;_&#34920;&#20316;&#25104;&#29992;.xlsx" TargetMode="External" /><Relationship Id="rId2" Type="http://schemas.openxmlformats.org/officeDocument/2006/relationships/themeOverride" Target="../theme/themeOverride1.xml" /></Relationships>
</file>

<file path=word/charts/_rels/chart2.xml.rels><?xml version="1.0" encoding="UTF-8"?><Relationships xmlns="http://schemas.openxmlformats.org/package/2006/relationships"><Relationship Id="rId1" Type="http://schemas.openxmlformats.org/officeDocument/2006/relationships/oleObject" Target="file:///T:\040-&#36001;&#21209;&#35506;\020-&#32113;&#35336;&#12539;&#22865;&#32004;&#20418;\&#215;&#20351;&#12431;&#12394;&#12356;&#215;200_&#32113;&#35336;&#38306;&#20418;\&#9632;&#19977;&#26465;&#24066;&#12398;&#20107;&#26989;&#25152;\&#9679;&#32076;&#28168;&#12475;&#12531;&#12469;&#12473;&#32080;&#26524;&#22577;&#21578;&#26360;\R3&#19977;&#26465;&#24066;&#12398;&#20107;&#26989;&#25152;(R3&#32076;&#28168;&#12475;&#12531;&#12469;&#12473;-&#27963;&#21205;&#35519;&#26619;&#12363;&#12425;)\01_&#20316;&#26989;&#29992;\00&#12288;&#32080;&#26524;&#12398;&#27010;&#35201;_&#34920;&#20316;&#25104;&#29992;.xlsx" TargetMode="External" /><Relationship Id="rId2" Type="http://schemas.openxmlformats.org/officeDocument/2006/relationships/chartUserShapes" Target="../drawings/drawing2.xml" /><Relationship Id="rId3" Type="http://schemas.openxmlformats.org/officeDocument/2006/relationships/themeOverride" Target="../theme/themeOverride2.xml" /></Relationships>
</file>

<file path=word/charts/_rels/chart3.xml.rels><?xml version="1.0" encoding="UTF-8"?><Relationships xmlns="http://schemas.openxmlformats.org/package/2006/relationships"><Relationship Id="rId1" Type="http://schemas.openxmlformats.org/officeDocument/2006/relationships/oleObject" Target="file:///T:\040-&#36001;&#21209;&#35506;\020-&#32113;&#35336;&#12539;&#22865;&#32004;&#20418;\&#215;&#20351;&#12431;&#12394;&#12356;&#215;200_&#32113;&#35336;&#38306;&#20418;\&#9632;&#19977;&#26465;&#24066;&#12398;&#20107;&#26989;&#25152;\&#9679;&#32076;&#28168;&#12475;&#12531;&#12469;&#12473;&#32080;&#26524;&#22577;&#21578;&#26360;\R3&#19977;&#26465;&#24066;&#12398;&#20107;&#26989;&#25152;(R3&#32076;&#28168;&#12475;&#12531;&#12469;&#12473;-&#27963;&#21205;&#35519;&#26619;&#12363;&#12425;)\01_&#20316;&#26989;&#29992;\00&#12288;&#32080;&#26524;&#12398;&#27010;&#35201;_&#34920;&#20316;&#25104;&#29992;.xlsx" TargetMode="External" /><Relationship Id="rId2" Type="http://schemas.openxmlformats.org/officeDocument/2006/relationships/themeOverride" Target="../theme/themeOverride3.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57289002557544"/>
          <c:y val="0.1"/>
          <c:w val="0.52301790281329918"/>
          <c:h val="0.70517241379310347"/>
        </c:manualLayout>
      </c:layout>
      <c:doughnutChart>
        <c:varyColors val="1"/>
        <c:ser>
          <c:idx val="0"/>
          <c:order val="0"/>
          <c:tx>
            <c:strRef>
              <c:f>図１!$C$2</c:f>
              <c:strCache>
                <c:ptCount val="1"/>
                <c:pt idx="0">
                  <c:v>グラフ構成比</c:v>
                </c:pt>
              </c:strCache>
            </c:strRef>
          </c:tx>
          <c:dPt>
            <c:idx val="0"/>
            <c:invertIfNegative val="0"/>
            <c:bubble3D val="0"/>
            <c:spPr>
              <a:pattFill prst="pct90">
                <a:fgClr>
                  <a:schemeClr val="accent1"/>
                </a:fgClr>
                <a:bgClr>
                  <a:schemeClr val="bg1"/>
                </a:bgClr>
              </a:pattFill>
              <a:ln>
                <a:solidFill>
                  <a:schemeClr val="tx1"/>
                </a:solidFill>
              </a:ln>
            </c:spPr>
          </c:dPt>
          <c:dPt>
            <c:idx val="1"/>
            <c:invertIfNegative val="0"/>
            <c:bubble3D val="0"/>
            <c:spPr>
              <a:pattFill prst="pct40">
                <a:fgClr>
                  <a:schemeClr val="accent1"/>
                </a:fgClr>
                <a:bgClr>
                  <a:schemeClr val="bg1"/>
                </a:bgClr>
              </a:pattFill>
              <a:ln>
                <a:solidFill>
                  <a:schemeClr val="tx1"/>
                </a:solidFill>
              </a:ln>
            </c:spPr>
          </c:dPt>
          <c:dPt>
            <c:idx val="2"/>
            <c:invertIfNegative val="0"/>
            <c:bubble3D val="0"/>
            <c:spPr>
              <a:pattFill prst="pct20">
                <a:fgClr>
                  <a:schemeClr val="accent1"/>
                </a:fgClr>
                <a:bgClr>
                  <a:schemeClr val="bg1"/>
                </a:bgClr>
              </a:pattFill>
              <a:ln>
                <a:solidFill>
                  <a:schemeClr val="tx1"/>
                </a:solidFill>
              </a:ln>
            </c:spPr>
          </c:dPt>
          <c:dPt>
            <c:idx val="3"/>
            <c:invertIfNegative val="0"/>
            <c:bubble3D val="0"/>
            <c:spPr>
              <a:pattFill prst="dotGrid">
                <a:fgClr>
                  <a:schemeClr val="accent1"/>
                </a:fgClr>
                <a:bgClr>
                  <a:schemeClr val="bg1"/>
                </a:bgClr>
              </a:pattFill>
              <a:ln>
                <a:solidFill>
                  <a:schemeClr val="tx1"/>
                </a:solidFill>
              </a:ln>
            </c:spPr>
          </c:dPt>
          <c:dPt>
            <c:idx val="4"/>
            <c:invertIfNegative val="0"/>
            <c:bubble3D val="0"/>
            <c:spPr>
              <a:pattFill prst="dkDnDiag">
                <a:fgClr>
                  <a:schemeClr val="accent1"/>
                </a:fgClr>
                <a:bgClr>
                  <a:schemeClr val="bg1"/>
                </a:bgClr>
              </a:pattFill>
              <a:ln>
                <a:solidFill>
                  <a:schemeClr val="tx1"/>
                </a:solidFill>
              </a:ln>
            </c:spPr>
          </c:dPt>
          <c:dPt>
            <c:idx val="5"/>
            <c:invertIfNegative val="0"/>
            <c:bubble3D val="0"/>
            <c:spPr>
              <a:pattFill prst="pct25">
                <a:fgClr>
                  <a:schemeClr val="accent1"/>
                </a:fgClr>
                <a:bgClr>
                  <a:schemeClr val="bg1"/>
                </a:bgClr>
              </a:pattFill>
              <a:ln>
                <a:solidFill>
                  <a:schemeClr val="tx1"/>
                </a:solidFill>
              </a:ln>
            </c:spPr>
          </c:dPt>
          <c:dLbls>
            <c:dLbl>
              <c:idx val="0"/>
              <c:layout>
                <c:manualLayout>
                  <c:x val="7.5926688870492656e-002"/>
                  <c:y val="-1.2983744348298291e-002"/>
                </c:manualLayout>
              </c:layout>
              <c:tx>
                <c:rich>
                  <a:bodyPr lIns="36576" tIns="18288" rIns="36576" bIns="18288">
                    <a:noAutofit/>
                  </a:bodyPr>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I 卸売業，小売業</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1,496事業所</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26.8%</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23529411764705882"/>
                      <c:h val="0.13793103448275862"/>
                    </c:manualLayout>
                  </c15:layout>
                </c:ext>
              </c:extLst>
            </c:dLbl>
            <c:dLbl>
              <c:idx val="1"/>
              <c:layout>
                <c:manualLayout>
                  <c:x val="0.10261267158231138"/>
                  <c:y val="2.3813526307712284e-002"/>
                </c:manualLayout>
              </c:layout>
              <c:tx>
                <c:rich>
                  <a:bodyPr lIns="36576" tIns="18288" rIns="36576" bIns="18288"/>
                  <a:lstStyle/>
                  <a:p>
                    <a:pPr>
                      <a:defRPr kumimoji="0" sz="900" kern="1200">
                        <a:solidFill>
                          <a:schemeClr val="tx1"/>
                        </a:solidFill>
                        <a:latin typeface="ＭＳ 明朝"/>
                        <a:ea typeface="ＭＳ 明朝"/>
                      </a:defRPr>
                    </a:pPr>
                    <a:r>
                      <a:rPr kumimoji="0" lang="ja-JP" altLang="en-US" sz="900" kern="1200">
                        <a:solidFill>
                          <a:sysClr val="windowText" lastClr="000000"/>
                        </a:solidFill>
                        <a:latin typeface="ＭＳ 明朝"/>
                        <a:ea typeface="ＭＳ 明朝"/>
                      </a:rPr>
                      <a:t>E 製造業</a:t>
                    </a:r>
                    <a:endParaRPr kumimoji="0" lang="ja-JP" altLang="en-US" sz="900" kern="1200">
                      <a:solidFill>
                        <a:sysClr val="windowText" lastClr="000000"/>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ysClr val="windowText" lastClr="000000"/>
                        </a:solidFill>
                        <a:latin typeface="ＭＳ 明朝"/>
                        <a:ea typeface="ＭＳ 明朝"/>
                      </a:rPr>
                      <a:t>1,119事業所</a:t>
                    </a:r>
                    <a:endParaRPr kumimoji="0" lang="ja-JP" altLang="en-US" sz="900" kern="1200">
                      <a:solidFill>
                        <a:sysClr val="windowText" lastClr="000000"/>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ysClr val="windowText" lastClr="000000"/>
                        </a:solidFill>
                        <a:latin typeface="ＭＳ 明朝"/>
                        <a:ea typeface="ＭＳ 明朝"/>
                      </a:rPr>
                      <a:t>20</a:t>
                    </a:r>
                    <a:r>
                      <a:rPr kumimoji="0" lang="ja-JP" altLang="en-US" sz="900" kern="1200">
                        <a:solidFill>
                          <a:sysClr val="windowText" lastClr="000000"/>
                        </a:solidFill>
                        <a:latin typeface="ＭＳ 明朝"/>
                        <a:ea typeface="ＭＳ 明朝"/>
                      </a:rPr>
                      <a:t>.1%</a:t>
                    </a:r>
                    <a:endParaRPr kumimoji="0" lang="ja-JP" altLang="en-US" sz="900" kern="1200">
                      <a:solidFill>
                        <a:sysClr val="windowText" lastClr="000000"/>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22738386308068459"/>
                      <c:h val="0.13043478260869565"/>
                    </c:manualLayout>
                  </c15:layout>
                </c:ext>
              </c:extLst>
            </c:dLbl>
            <c:dLbl>
              <c:idx val="2"/>
              <c:layout>
                <c:manualLayout>
                  <c:x val="1.3473024951164992e-002"/>
                  <c:y val="0.19731849036111865"/>
                </c:manualLayout>
              </c:layout>
              <c:tx>
                <c:rich>
                  <a:bodyPr lIns="36576" tIns="18288" rIns="36576" bIns="18288"/>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D 建設業</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513事業所</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9.2%</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16748166259168704"/>
                      <c:h val="0.12143928035982009"/>
                    </c:manualLayout>
                  </c15:layout>
                </c:ext>
              </c:extLst>
            </c:dLbl>
            <c:dLbl>
              <c:idx val="3"/>
              <c:layout>
                <c:manualLayout>
                  <c:x val="-0.10914040390427969"/>
                  <c:y val="0.13812967278108471"/>
                </c:manualLayout>
              </c:layout>
              <c:tx>
                <c:rich>
                  <a:bodyPr lIns="36576" tIns="18288" rIns="36576" bIns="18288"/>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N 生活関連サービス業，娯楽業</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482事業所</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8.6%</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20415647921760391"/>
                      <c:h val="0.17671809256661991"/>
                    </c:manualLayout>
                  </c15:layout>
                </c:ext>
              </c:extLst>
            </c:dLbl>
            <c:dLbl>
              <c:idx val="4"/>
              <c:layout>
                <c:manualLayout>
                  <c:x val="-0.17234629558773185"/>
                  <c:y val="4.3895737170784689e-002"/>
                </c:manualLayout>
              </c:layout>
              <c:tx>
                <c:rich>
                  <a:bodyPr lIns="36576" tIns="18288" rIns="36576" bIns="18288"/>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M 宿泊業，飲食サービス業</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475事業所</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8.5%</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19070904645476772"/>
                      <c:h val="0.1640953716690042"/>
                    </c:manualLayout>
                  </c15:layout>
                </c:ext>
              </c:extLst>
            </c:dLbl>
            <c:dLbl>
              <c:idx val="5"/>
              <c:layout>
                <c:manualLayout>
                  <c:x val="-5.9017384440636853e-002"/>
                  <c:y val="-2.089297743812879e-002"/>
                </c:manualLayout>
              </c:layout>
              <c:tx>
                <c:rich>
                  <a:bodyPr lIns="36576" tIns="18288" rIns="36576" bIns="18288"/>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その他</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1,496事業所26.8%</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19193154034229828"/>
                      <c:h val="0.13464235624123422"/>
                    </c:manualLayout>
                  </c15:layout>
                </c:ext>
              </c:extLst>
            </c:dLbl>
            <c:spPr>
              <a:solidFill>
                <a:schemeClr val="bg1"/>
              </a:solidFill>
              <a:ln>
                <a:solidFill>
                  <a:schemeClr val="tx1"/>
                </a:solidFill>
              </a:ln>
            </c:spPr>
            <c:txPr>
              <a:bodyPr rot="0" horzOverflow="overflow" lIns="36576" tIns="18288" rIns="36576" bIns="18288" anchor="ctr" anchorCtr="1"/>
              <a:lstStyle/>
              <a:p>
                <a:pPr algn="ctr" rtl="0">
                  <a:defRPr kumimoji="0" sz="900" kern="1200">
                    <a:solidFill>
                      <a:schemeClr val="tx1"/>
                    </a:solidFill>
                    <a:latin typeface="ＭＳ 明朝"/>
                    <a:ea typeface="ＭＳ 明朝"/>
                  </a:defRPr>
                </a:pPr>
                <a:endParaRPr lang="ja-JP" altLang="en-US"/>
              </a:p>
            </c:txPr>
            <c:showLegendKey val="0"/>
            <c:showVal val="1"/>
            <c:showCatName val="1"/>
            <c:showSerName val="0"/>
            <c:showPercent val="0"/>
            <c:showBubbleSize val="0"/>
            <c:separator xml:space="preserve">
</c:separator>
            <c:showLeaderLines val="1"/>
          </c:dLbls>
          <c:cat>
            <c:strRef>
              <c:f>図１!$A$3:$A$8</c:f>
              <c:strCache>
                <c:ptCount val="6"/>
                <c:pt idx="0">
                  <c:v>I　卸売業，小売業</c:v>
                </c:pt>
                <c:pt idx="1">
                  <c:v>E　製造業</c:v>
                </c:pt>
                <c:pt idx="2">
                  <c:v>D　建設業</c:v>
                </c:pt>
                <c:pt idx="3">
                  <c:v>N　生活関連サービス業，娯楽業</c:v>
                </c:pt>
                <c:pt idx="4">
                  <c:v>M　宿泊業，飲食サービス業</c:v>
                </c:pt>
                <c:pt idx="5">
                  <c:v>その他</c:v>
                </c:pt>
              </c:strCache>
            </c:strRef>
          </c:cat>
          <c:val>
            <c:numRef>
              <c:f>[00　結果の概要_表作成用.xlsx]図１!$C$3:$C$8</c:f>
              <c:numCache>
                <c:formatCode>0.0</c:formatCode>
                <c:ptCount val="6"/>
                <c:pt idx="0">
                  <c:v>26.805232037269306</c:v>
                </c:pt>
                <c:pt idx="1">
                  <c:v>20.050170220390612</c:v>
                </c:pt>
                <c:pt idx="2">
                  <c:v>9.1919010929940868</c:v>
                </c:pt>
                <c:pt idx="3">
                  <c:v>8.6364450815266078</c:v>
                </c:pt>
                <c:pt idx="4">
                  <c:v>8.5110195305500813</c:v>
                </c:pt>
                <c:pt idx="5">
                  <c:v>26.805232037269306</c:v>
                </c:pt>
              </c:numCache>
            </c:numRef>
          </c:val>
        </c:ser>
        <c:dLbls>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0"/>
          <c:showPercent val="0"/>
          <c:showBubbleSize val="0"/>
          <c:showLeaderLines val="1"/>
        </c:dLbls>
        <c:firstSliceAng val="0"/>
        <c:holeSize val="40"/>
      </c:doughnutChart>
    </c:plotArea>
    <c:plotVisOnly val="1"/>
    <c:dispBlanksAs val="gap"/>
    <c:showDLblsOverMax val="0"/>
  </c:chart>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56410256410255"/>
          <c:y val="8.8932806324110672e-002"/>
          <c:w val="0.53205128205128205"/>
          <c:h val="0.82015810276679846"/>
        </c:manualLayout>
      </c:layout>
      <c:doughnutChart>
        <c:varyColors val="1"/>
        <c:ser>
          <c:idx val="0"/>
          <c:order val="0"/>
          <c:tx>
            <c:strRef>
              <c:f>図２!$C$2</c:f>
              <c:strCache>
                <c:ptCount val="1"/>
                <c:pt idx="0">
                  <c:v>グラフ構成比</c:v>
                </c:pt>
              </c:strCache>
            </c:strRef>
          </c:tx>
          <c:dPt>
            <c:idx val="0"/>
            <c:invertIfNegative val="0"/>
            <c:bubble3D val="0"/>
            <c:spPr>
              <a:pattFill prst="pct90">
                <a:fgClr>
                  <a:schemeClr val="accent1"/>
                </a:fgClr>
                <a:bgClr>
                  <a:schemeClr val="bg1"/>
                </a:bgClr>
              </a:pattFill>
              <a:ln>
                <a:solidFill>
                  <a:schemeClr val="tx1"/>
                </a:solidFill>
              </a:ln>
            </c:spPr>
          </c:dPt>
          <c:dPt>
            <c:idx val="1"/>
            <c:invertIfNegative val="0"/>
            <c:bubble3D val="0"/>
            <c:spPr>
              <a:pattFill prst="pct40">
                <a:fgClr>
                  <a:schemeClr val="accent1"/>
                </a:fgClr>
                <a:bgClr>
                  <a:schemeClr val="bg1"/>
                </a:bgClr>
              </a:pattFill>
              <a:ln>
                <a:solidFill>
                  <a:schemeClr val="tx1"/>
                </a:solidFill>
              </a:ln>
            </c:spPr>
          </c:dPt>
          <c:dPt>
            <c:idx val="2"/>
            <c:invertIfNegative val="0"/>
            <c:bubble3D val="0"/>
            <c:spPr>
              <a:pattFill prst="pct20">
                <a:fgClr>
                  <a:schemeClr val="accent1"/>
                </a:fgClr>
                <a:bgClr>
                  <a:schemeClr val="bg1"/>
                </a:bgClr>
              </a:pattFill>
              <a:ln>
                <a:solidFill>
                  <a:schemeClr val="tx1"/>
                </a:solidFill>
              </a:ln>
            </c:spPr>
          </c:dPt>
          <c:dPt>
            <c:idx val="3"/>
            <c:invertIfNegative val="0"/>
            <c:bubble3D val="0"/>
            <c:spPr>
              <a:pattFill prst="dotGrid">
                <a:fgClr>
                  <a:schemeClr val="accent1"/>
                </a:fgClr>
                <a:bgClr>
                  <a:schemeClr val="bg1"/>
                </a:bgClr>
              </a:pattFill>
              <a:ln>
                <a:solidFill>
                  <a:schemeClr val="tx1"/>
                </a:solidFill>
              </a:ln>
            </c:spPr>
          </c:dPt>
          <c:dPt>
            <c:idx val="4"/>
            <c:invertIfNegative val="0"/>
            <c:bubble3D val="0"/>
            <c:spPr>
              <a:pattFill prst="dkDnDiag">
                <a:fgClr>
                  <a:schemeClr val="accent1"/>
                </a:fgClr>
                <a:bgClr>
                  <a:schemeClr val="bg1"/>
                </a:bgClr>
              </a:pattFill>
              <a:ln>
                <a:solidFill>
                  <a:schemeClr val="tx1"/>
                </a:solidFill>
              </a:ln>
            </c:spPr>
          </c:dPt>
          <c:dPt>
            <c:idx val="5"/>
            <c:invertIfNegative val="0"/>
            <c:bubble3D val="0"/>
            <c:spPr>
              <a:pattFill prst="pct25">
                <a:fgClr>
                  <a:schemeClr val="accent1"/>
                </a:fgClr>
                <a:bgClr>
                  <a:schemeClr val="bg1"/>
                </a:bgClr>
              </a:pattFill>
              <a:ln>
                <a:solidFill>
                  <a:schemeClr val="tx1"/>
                </a:solidFill>
              </a:ln>
            </c:spPr>
          </c:dPt>
          <c:dLbls>
            <c:dLbl>
              <c:idx val="0"/>
              <c:layout>
                <c:manualLayout>
                  <c:x val="0.10605128205128204"/>
                  <c:y val="1.1695870032056269e-003"/>
                </c:manualLayout>
              </c:layout>
              <c:tx>
                <c:rich>
                  <a:bodyPr lIns="36576" tIns="18288" rIns="36576" bIns="18288">
                    <a:noAutofit/>
                  </a:bodyPr>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E 製造業</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15,796人</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30.6%</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21827411167512689"/>
                      <c:h val="0.1600790513833992"/>
                    </c:manualLayout>
                  </c15:layout>
                </c:ext>
              </c:extLst>
            </c:dLbl>
            <c:dLbl>
              <c:idx val="1"/>
              <c:layout>
                <c:manualLayout>
                  <c:x val="9.822895215021199e-002"/>
                  <c:y val="5.0178643677445456e-002"/>
                </c:manualLayout>
              </c:layout>
              <c:tx>
                <c:rich>
                  <a:bodyPr lIns="36576" tIns="18288" rIns="36576" bIns="18288">
                    <a:noAutofit/>
                  </a:bodyPr>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I 卸売業，小売業</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12,700人</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24.6%</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24492385786802032"/>
                      <c:h val="0.15810276679841898"/>
                    </c:manualLayout>
                  </c15:layout>
                </c:ext>
              </c:extLst>
            </c:dLbl>
            <c:dLbl>
              <c:idx val="2"/>
              <c:layout>
                <c:manualLayout>
                  <c:x val="-7.533114832727128e-002"/>
                  <c:y val="0.13888612243627649"/>
                </c:manualLayout>
              </c:layout>
              <c:tx>
                <c:rich>
                  <a:bodyPr lIns="36576" tIns="18288" rIns="36576" bIns="18288">
                    <a:noAutofit/>
                  </a:bodyPr>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P 医療，福祉5,863人</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11.4%</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16370558375634517"/>
                      <c:h val="0.14624505928853754"/>
                    </c:manualLayout>
                  </c15:layout>
                </c:ext>
              </c:extLst>
            </c:dLbl>
            <c:dLbl>
              <c:idx val="3"/>
              <c:layout>
                <c:manualLayout>
                  <c:x val="-0.20975038970382509"/>
                  <c:y val="0.12019358252155239"/>
                </c:manualLayout>
              </c:layout>
              <c:tx>
                <c:rich>
                  <a:bodyPr lIns="36576" tIns="18288" rIns="36576" bIns="18288"/>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M 宿泊業，飲食サービス業</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3,217人</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6.2%</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dLbl>
            <c:dLbl>
              <c:idx val="4"/>
              <c:layout>
                <c:manualLayout>
                  <c:x val="-0.17724549342499701"/>
                  <c:y val="-1.860041704273132e-002"/>
                </c:manualLayout>
              </c:layout>
              <c:tx>
                <c:rich>
                  <a:bodyPr lIns="36576" tIns="18288" rIns="36576" bIns="18288">
                    <a:noAutofit/>
                  </a:bodyPr>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D 建設業</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3,047人</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5.9%</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15862944162436549"/>
                      <c:h val="0.14031620553359683"/>
                    </c:manualLayout>
                  </c15:layout>
                </c:ext>
              </c:extLst>
            </c:dLbl>
            <c:dLbl>
              <c:idx val="5"/>
              <c:layout>
                <c:manualLayout>
                  <c:x val="-7.8567131031697962e-002"/>
                  <c:y val="-5.6398182440633653e-002"/>
                </c:manualLayout>
              </c:layout>
              <c:tx>
                <c:rich>
                  <a:bodyPr lIns="36576" tIns="18288" rIns="36576" bIns="18288">
                    <a:noAutofit/>
                  </a:bodyPr>
                  <a:lstStyle/>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その他</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11,032人</a:t>
                    </a:r>
                    <a:endParaRPr kumimoji="0" lang="ja-JP" altLang="en-US" sz="900" kern="1200">
                      <a:solidFill>
                        <a:schemeClr val="tx1"/>
                      </a:solidFill>
                      <a:latin typeface="ＭＳ 明朝"/>
                      <a:ea typeface="ＭＳ 明朝"/>
                    </a:endParaRPr>
                  </a:p>
                  <a:p>
                    <a:pPr>
                      <a:defRPr kumimoji="0" sz="900" kern="1200">
                        <a:solidFill>
                          <a:schemeClr val="tx1"/>
                        </a:solidFill>
                        <a:latin typeface="ＭＳ 明朝"/>
                        <a:ea typeface="ＭＳ 明朝"/>
                      </a:defRPr>
                    </a:pPr>
                    <a:r>
                      <a:rPr kumimoji="0" lang="ja-JP" altLang="en-US" sz="900" kern="1200">
                        <a:solidFill>
                          <a:schemeClr val="tx1"/>
                        </a:solidFill>
                        <a:latin typeface="ＭＳ 明朝"/>
                        <a:ea typeface="ＭＳ 明朝"/>
                      </a:rPr>
                      <a:t>21.4%</a:t>
                    </a:r>
                    <a:endParaRPr kumimoji="0" lang="ja-JP" altLang="en-US" sz="900" kern="1200">
                      <a:solidFill>
                        <a:schemeClr val="tx1"/>
                      </a:solidFill>
                      <a:latin typeface="ＭＳ 明朝"/>
                      <a:ea typeface="ＭＳ 明朝"/>
                    </a:endParaRPr>
                  </a:p>
                </c:rich>
              </c:tx>
              <c:spPr>
                <a:solidFill>
                  <a:schemeClr val="bg1"/>
                </a:solidFill>
                <a:ln>
                  <a:solidFill>
                    <a:schemeClr val="tx1"/>
                  </a:solidFill>
                </a:ln>
              </c:spPr>
              <c:showLegendKey val="0"/>
              <c:showVal val="1"/>
              <c:showCatName val="1"/>
              <c:showSerName val="0"/>
              <c:showPercent val="0"/>
              <c:showBubbleSize val="0"/>
              <c:separator xml:space="preserve">
</c:separator>
              <c:extLst>
                <c:ext xmlns:c15="http://schemas.microsoft.com/office/drawing/2012/chart" uri="{CE6537A1-D6FC-4f65-9D91-7224C49458BB}">
                  <c15:layout>
                    <c:manualLayout>
                      <c:w val="0.17131979695431471"/>
                      <c:h val="0.15019762845849802"/>
                    </c:manualLayout>
                  </c15:layout>
                </c:ext>
              </c:extLst>
            </c:dLbl>
            <c:spPr>
              <a:solidFill>
                <a:schemeClr val="bg1"/>
              </a:solidFill>
              <a:ln>
                <a:solidFill>
                  <a:schemeClr val="tx1"/>
                </a:solidFill>
              </a:ln>
            </c:spPr>
            <c:txPr>
              <a:bodyPr rot="0" horzOverflow="overflow" lIns="36576" tIns="18288" rIns="36576" bIns="18288" anchor="ctr" anchorCtr="1"/>
              <a:lstStyle/>
              <a:p>
                <a:pPr algn="ctr" rtl="0">
                  <a:defRPr kumimoji="0" sz="900" kern="1200">
                    <a:solidFill>
                      <a:schemeClr val="tx1"/>
                    </a:solidFill>
                    <a:latin typeface="ＭＳ 明朝"/>
                    <a:ea typeface="ＭＳ 明朝"/>
                  </a:defRPr>
                </a:pPr>
                <a:endParaRPr lang="ja-JP" altLang="en-US"/>
              </a:p>
            </c:txPr>
            <c:showLegendKey val="0"/>
            <c:showVal val="1"/>
            <c:showCatName val="1"/>
            <c:showSerName val="0"/>
            <c:showPercent val="0"/>
            <c:showBubbleSize val="0"/>
            <c:separator xml:space="preserve">
</c:separator>
            <c:showLeaderLines val="1"/>
          </c:dLbls>
          <c:cat>
            <c:strRef>
              <c:f>図２!$A$3:$A$8</c:f>
              <c:strCache>
                <c:ptCount val="6"/>
                <c:pt idx="0">
                  <c:v>E　製造業</c:v>
                </c:pt>
                <c:pt idx="1">
                  <c:v>I　卸売業，小売業</c:v>
                </c:pt>
                <c:pt idx="2">
                  <c:v>P　医療，福祉</c:v>
                </c:pt>
                <c:pt idx="3">
                  <c:v>M　宿泊業，飲食サービス業</c:v>
                </c:pt>
                <c:pt idx="4">
                  <c:v>D　建設業</c:v>
                </c:pt>
                <c:pt idx="5">
                  <c:v>その他</c:v>
                </c:pt>
              </c:strCache>
            </c:strRef>
          </c:cat>
          <c:val>
            <c:numRef>
              <c:f>[00　結果の概要_表作成用.xlsx]図２!$C$3:$C$8</c:f>
              <c:numCache>
                <c:formatCode>0.0</c:formatCode>
                <c:ptCount val="6"/>
                <c:pt idx="0">
                  <c:v>30.579808343819572</c:v>
                </c:pt>
                <c:pt idx="1">
                  <c:v>24.586196883167165</c:v>
                </c:pt>
                <c:pt idx="2">
                  <c:v>11.350304907559771</c:v>
                </c:pt>
                <c:pt idx="3">
                  <c:v>6.227857903397541</c:v>
                </c:pt>
                <c:pt idx="4">
                  <c:v>5.8987513309456974</c:v>
                </c:pt>
                <c:pt idx="5">
                  <c:v>21.389991288355436</c:v>
                </c:pt>
              </c:numCache>
            </c:numRef>
          </c:val>
        </c:ser>
        <c:dLbls>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0"/>
          <c:showPercent val="0"/>
          <c:showBubbleSize val="0"/>
          <c:showLeaderLines val="1"/>
        </c:dLbls>
        <c:firstSliceAng val="0"/>
        <c:holeSize val="40"/>
      </c:doughnutChart>
      <c:spPr>
        <a:noFill/>
        <a:ln>
          <a:noFill/>
        </a:ln>
      </c:spPr>
    </c:plotArea>
    <c:plotVisOnly val="1"/>
    <c:dispBlanksAs val="gap"/>
    <c:showDLblsOverMax val="0"/>
  </c:chart>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6122954570558"/>
          <c:y val="1.2405089988751406e-003"/>
          <c:w val="0.84669338677354711"/>
          <c:h val="0.90625"/>
        </c:manualLayout>
      </c:layout>
      <c:barChart>
        <c:barDir val="bar"/>
        <c:grouping val="percentStacked"/>
        <c:varyColors val="0"/>
        <c:ser>
          <c:idx val="0"/>
          <c:order val="0"/>
          <c:tx>
            <c:strRef>
              <c:f>図３!$B$4</c:f>
              <c:strCache>
                <c:ptCount val="1"/>
                <c:pt idx="0">
                  <c:v>1～4人</c:v>
                </c:pt>
              </c:strCache>
            </c:strRef>
          </c:tx>
          <c:spPr>
            <a:pattFill prst="pct40">
              <a:fgClr>
                <a:schemeClr val="accent1"/>
              </a:fgClr>
              <a:bgClr>
                <a:schemeClr val="bg1"/>
              </a:bgClr>
            </a:pattFill>
            <a:ln>
              <a:solidFill>
                <a:schemeClr val="tx1"/>
              </a:solidFill>
            </a:ln>
          </c:spPr>
          <c:invertIfNegative val="0"/>
          <c:dPt>
            <c:idx val="0"/>
            <c:invertIfNegative val="0"/>
            <c:bubble3D val="0"/>
          </c:dPt>
          <c:dPt>
            <c:idx val="1"/>
            <c:invertIfNegative val="0"/>
            <c:bubble3D val="0"/>
          </c:dPt>
          <c:dLbls>
            <c:dLbl>
              <c:idx val="0"/>
              <c:layout/>
              <c:tx>
                <c:rich>
                  <a:bodyPr>
                    <a:noAutofit/>
                  </a:bodyPr>
                  <a:lstStyle/>
                  <a:p>
                    <a:pPr>
                      <a:defRPr sz="1000">
                        <a:solidFill>
                          <a:schemeClr val="tx1"/>
                        </a:solidFill>
                      </a:defRPr>
                    </a:pPr>
                    <a:fld id="{06475F22-FBB3-4F57-99D1-8E0B1EAB1A95}" type="SERIESNAME">
                      <a:rPr kumimoji="0" lang="ja-JP" altLang="en-US" sz="1000" kern="1200">
                        <a:solidFill>
                          <a:schemeClr val="tx1"/>
                        </a:solidFill>
                      </a:rPr>
                      <a:t>[系列名]</a:t>
                    </a:fld>
                    <a:endParaRPr kumimoji="0" lang="ja-JP" altLang="en-US" sz="1000" kern="1200">
                      <a:solidFill>
                        <a:schemeClr val="tx1"/>
                      </a:solidFill>
                    </a:endParaRPr>
                  </a:p>
                  <a:p>
                    <a:pPr>
                      <a:defRPr sz="1000">
                        <a:solidFill>
                          <a:schemeClr val="tx1"/>
                        </a:solidFill>
                      </a:defRPr>
                    </a:pPr>
                    <a:r>
                      <a:rPr kumimoji="0" lang="ja-JP" altLang="en-US" sz="1000" kern="1200">
                        <a:solidFill>
                          <a:schemeClr val="tx1"/>
                        </a:solidFill>
                      </a:rPr>
                      <a:t>60.0%</a:t>
                    </a:r>
                    <a:endParaRPr kumimoji="0" lang="ja-JP" altLang="en-US" sz="1000" kern="1200">
                      <a:solidFill>
                        <a:schemeClr val="tx1"/>
                      </a:solidFill>
                    </a:endParaRPr>
                  </a:p>
                </c:rich>
              </c:tx>
              <c:spPr>
                <a:solidFill>
                  <a:schemeClr val="bg1"/>
                </a:solidFill>
              </c:spPr>
              <c:showLegendKey val="0"/>
              <c:showVal val="1"/>
              <c:showCatName val="0"/>
              <c:showSerName val="1"/>
              <c:showPercent val="0"/>
              <c:showBubbleSize val="0"/>
              <c:extLst>
                <c:ext xmlns:c15="http://schemas.microsoft.com/office/drawing/2012/chart" uri="{CE6537A1-D6FC-4f65-9D91-7224C49458BB}">
                  <c15:layout>
                    <c:manualLayout>
                      <c:w val="0.10921843687374749"/>
                      <c:h val="0.11160714285714286"/>
                    </c:manualLayout>
                  </c15:layout>
                </c:ext>
              </c:extLst>
            </c:dLbl>
            <c:dLbl>
              <c:idx val="1"/>
              <c:layout/>
              <c:tx>
                <c:rich>
                  <a:bodyPr>
                    <a:noAutofit/>
                  </a:bodyPr>
                  <a:lstStyle/>
                  <a:p>
                    <a:pPr>
                      <a:defRPr sz="1000">
                        <a:solidFill>
                          <a:schemeClr val="tx1"/>
                        </a:solidFill>
                      </a:defRPr>
                    </a:pPr>
                    <a:fld id="{29AF199D-3908-4008-BF8F-9A7FB26521EE}" type="SERIESNAME">
                      <a:rPr kumimoji="0" lang="ja-JP" altLang="en-US" sz="1000" kern="1200">
                        <a:solidFill>
                          <a:schemeClr val="tx1"/>
                        </a:solidFill>
                      </a:rPr>
                      <a:t>[系列名]</a:t>
                    </a:fld>
                    <a:endParaRPr kumimoji="0" lang="ja-JP" altLang="en-US" sz="1000" kern="1200">
                      <a:solidFill>
                        <a:schemeClr val="tx1"/>
                      </a:solidFill>
                    </a:endParaRPr>
                  </a:p>
                  <a:p>
                    <a:pPr>
                      <a:defRPr sz="1000">
                        <a:solidFill>
                          <a:schemeClr val="tx1"/>
                        </a:solidFill>
                      </a:defRPr>
                    </a:pPr>
                    <a:fld id="{925FB62B-459C-47F7-9BCA-5CF1A448B2AB}" type="VALUE">
                      <a:rPr kumimoji="0" lang="ja-JP" altLang="en-US" sz="1000" kern="1200">
                        <a:solidFill>
                          <a:schemeClr val="tx1"/>
                        </a:solidFill>
                      </a:rPr>
                      <a:t>[値]</a:t>
                    </a:fld>
                    <a:r>
                      <a:rPr kumimoji="0" lang="ja-JP" altLang="en-US" sz="1000" kern="1200">
                        <a:solidFill>
                          <a:schemeClr val="tx1"/>
                        </a:solidFill>
                      </a:rPr>
                      <a:t>%</a:t>
                    </a:r>
                    <a:endParaRPr kumimoji="0" lang="ja-JP" altLang="en-US" sz="1000" kern="1200">
                      <a:solidFill>
                        <a:schemeClr val="tx1"/>
                      </a:solidFill>
                    </a:endParaRPr>
                  </a:p>
                </c:rich>
              </c:tx>
              <c:spPr>
                <a:solidFill>
                  <a:schemeClr val="bg1"/>
                </a:solidFill>
              </c:spPr>
              <c:showLegendKey val="0"/>
              <c:showVal val="1"/>
              <c:showCatName val="0"/>
              <c:showSerName val="1"/>
              <c:showPercent val="0"/>
              <c:showBubbleSize val="0"/>
              <c:extLst>
                <c:ext xmlns:c15="http://schemas.microsoft.com/office/drawing/2012/chart" uri="{CE6537A1-D6FC-4f65-9D91-7224C49458BB}">
                  <c15:layout>
                    <c:manualLayout>
                      <c:w val="8.3166332665330661e-002"/>
                      <c:h val="0.11383928571428571"/>
                    </c:manualLayout>
                  </c15:layout>
                </c:ext>
              </c:extLst>
            </c:dLbl>
            <c:spPr>
              <a:solidFill>
                <a:schemeClr val="bg1"/>
              </a:solidFill>
            </c:spPr>
            <c:txPr>
              <a:bodyPr rot="0" horzOverflow="overflow" anchor="ctr" anchorCtr="1">
                <a:spAutoFit/>
              </a:bodyPr>
              <a:lstStyle/>
              <a:p>
                <a:pPr algn="ctr" rtl="0">
                  <a:defRPr sz="1000">
                    <a:solidFill>
                      <a:schemeClr val="tx1"/>
                    </a:solidFill>
                  </a:defRPr>
                </a:pPr>
                <a:endParaRPr lang="ja-JP" altLang="en-US"/>
              </a:p>
            </c:txPr>
            <c:showLegendKey val="0"/>
            <c:showVal val="1"/>
            <c:showCatName val="0"/>
            <c:showSerName val="1"/>
            <c:showPercent val="0"/>
            <c:showBubbleSize val="0"/>
          </c:dLbls>
          <c:cat>
            <c:strRef>
              <c:f>図３!$C$3:$D$3</c:f>
              <c:strCache>
                <c:ptCount val="2"/>
                <c:pt idx="0">
                  <c:v>①事業所数</c:v>
                </c:pt>
                <c:pt idx="1">
                  <c:v>②従業者数</c:v>
                </c:pt>
              </c:strCache>
            </c:strRef>
          </c:cat>
          <c:val>
            <c:numRef>
              <c:f>[00　結果の概要_表作成用.xlsx]図３!$C$4:$D$4</c:f>
              <c:numCache>
                <c:formatCode xml:space="preserve">0.0_ </c:formatCode>
                <c:ptCount val="2"/>
                <c:pt idx="0">
                  <c:v>59.953413366780154</c:v>
                </c:pt>
                <c:pt idx="1">
                  <c:v>13.336559868357369</c:v>
                </c:pt>
              </c:numCache>
            </c:numRef>
          </c:val>
        </c:ser>
        <c:ser>
          <c:idx val="1"/>
          <c:order val="1"/>
          <c:tx>
            <c:strRef>
              <c:f>図３!$B$5</c:f>
              <c:strCache>
                <c:ptCount val="1"/>
                <c:pt idx="0">
                  <c:v>5～9人</c:v>
                </c:pt>
              </c:strCache>
            </c:strRef>
          </c:tx>
          <c:spPr>
            <a:pattFill prst="dkUpDiag">
              <a:fgClr>
                <a:schemeClr val="accent1"/>
              </a:fgClr>
              <a:bgClr>
                <a:schemeClr val="bg1"/>
              </a:bgClr>
            </a:pattFill>
            <a:ln>
              <a:solidFill>
                <a:schemeClr val="tx1"/>
              </a:solidFill>
            </a:ln>
          </c:spPr>
          <c:invertIfNegative val="0"/>
          <c:dPt>
            <c:idx val="0"/>
            <c:invertIfNegative val="0"/>
            <c:bubble3D val="0"/>
          </c:dPt>
          <c:dPt>
            <c:idx val="1"/>
            <c:invertIfNegative val="0"/>
            <c:bubble3D val="0"/>
          </c:dPt>
          <c:dLbls>
            <c:dLbl>
              <c:idx val="0"/>
              <c:layout/>
              <c:tx>
                <c:rich>
                  <a:bodyPr>
                    <a:noAutofit/>
                  </a:bodyPr>
                  <a:lstStyle/>
                  <a:p>
                    <a:pPr>
                      <a:defRPr sz="1000">
                        <a:solidFill>
                          <a:schemeClr val="tx1"/>
                        </a:solidFill>
                      </a:defRPr>
                    </a:pPr>
                    <a:fld id="{7E9E209A-5EFA-4D89-84B2-ADDCB4105661}" type="SERIESNAME">
                      <a:rPr kumimoji="0" lang="ja-JP" altLang="en-US" sz="1000" kern="1200">
                        <a:solidFill>
                          <a:schemeClr val="tx1"/>
                        </a:solidFill>
                      </a:rPr>
                      <a:t>[系列名]</a:t>
                    </a:fld>
                    <a:endParaRPr kumimoji="0" lang="ja-JP" altLang="en-US" sz="1000" kern="1200">
                      <a:solidFill>
                        <a:schemeClr val="tx1"/>
                      </a:solidFill>
                    </a:endParaRPr>
                  </a:p>
                  <a:p>
                    <a:pPr>
                      <a:defRPr sz="1000">
                        <a:solidFill>
                          <a:schemeClr val="tx1"/>
                        </a:solidFill>
                      </a:defRPr>
                    </a:pPr>
                    <a:r>
                      <a:rPr kumimoji="0" lang="ja-JP" altLang="en-US" sz="1000" kern="1200">
                        <a:solidFill>
                          <a:schemeClr val="tx1"/>
                        </a:solidFill>
                      </a:rPr>
                      <a:t>17.6%</a:t>
                    </a:r>
                    <a:endParaRPr kumimoji="0" lang="ja-JP" altLang="en-US" sz="1000" kern="1200">
                      <a:solidFill>
                        <a:schemeClr val="tx1"/>
                      </a:solidFill>
                    </a:endParaRPr>
                  </a:p>
                </c:rich>
              </c:tx>
              <c:spPr>
                <a:solidFill>
                  <a:schemeClr val="bg1"/>
                </a:solidFill>
              </c:spPr>
              <c:showLegendKey val="0"/>
              <c:showVal val="1"/>
              <c:showCatName val="0"/>
              <c:showSerName val="1"/>
              <c:showPercent val="0"/>
              <c:showBubbleSize val="0"/>
              <c:extLst>
                <c:ext xmlns:c15="http://schemas.microsoft.com/office/drawing/2012/chart" uri="{CE6537A1-D6FC-4f65-9D91-7224C49458BB}">
                  <c15:layout>
                    <c:manualLayout>
                      <c:w val="8.3166332665330661e-002"/>
                      <c:h val="0.12053571428571429"/>
                    </c:manualLayout>
                  </c15:layout>
                </c:ext>
              </c:extLst>
            </c:dLbl>
            <c:dLbl>
              <c:idx val="1"/>
              <c:layout/>
              <c:tx>
                <c:rich>
                  <a:bodyPr>
                    <a:noAutofit/>
                  </a:bodyPr>
                  <a:lstStyle/>
                  <a:p>
                    <a:pPr>
                      <a:defRPr sz="1000">
                        <a:solidFill>
                          <a:schemeClr val="tx1"/>
                        </a:solidFill>
                      </a:defRPr>
                    </a:pPr>
                    <a:fld id="{519546D4-352F-461E-A897-B4B2D11D783F}" type="SERIESNAME">
                      <a:rPr kumimoji="0" lang="ja-JP" altLang="en-US" sz="1000" kern="1200">
                        <a:solidFill>
                          <a:schemeClr val="tx1"/>
                        </a:solidFill>
                      </a:rPr>
                      <a:t>[系列名]</a:t>
                    </a:fld>
                    <a:endParaRPr kumimoji="0" lang="ja-JP" altLang="en-US" sz="1000" kern="1200">
                      <a:solidFill>
                        <a:schemeClr val="tx1"/>
                      </a:solidFill>
                    </a:endParaRPr>
                  </a:p>
                  <a:p>
                    <a:pPr>
                      <a:defRPr sz="1000">
                        <a:solidFill>
                          <a:schemeClr val="tx1"/>
                        </a:solidFill>
                      </a:defRPr>
                    </a:pPr>
                    <a:fld id="{91977019-24F2-4276-865A-4B662F801C1C}" type="VALUE">
                      <a:rPr kumimoji="0" lang="ja-JP" altLang="en-US" sz="1000" kern="1200">
                        <a:solidFill>
                          <a:schemeClr val="tx1"/>
                        </a:solidFill>
                      </a:rPr>
                      <a:t>[値]</a:t>
                    </a:fld>
                    <a:r>
                      <a:rPr kumimoji="0" lang="ja-JP" altLang="en-US" sz="1000" kern="1200">
                        <a:solidFill>
                          <a:schemeClr val="tx1"/>
                        </a:solidFill>
                      </a:rPr>
                      <a:t>%</a:t>
                    </a:r>
                    <a:endParaRPr kumimoji="0" lang="ja-JP" altLang="en-US" sz="1000" kern="1200">
                      <a:solidFill>
                        <a:schemeClr val="tx1"/>
                      </a:solidFill>
                    </a:endParaRPr>
                  </a:p>
                </c:rich>
              </c:tx>
              <c:spPr>
                <a:solidFill>
                  <a:schemeClr val="bg1"/>
                </a:solidFill>
              </c:spPr>
              <c:showLegendKey val="0"/>
              <c:showVal val="1"/>
              <c:showCatName val="0"/>
              <c:showSerName val="1"/>
              <c:showPercent val="0"/>
              <c:showBubbleSize val="0"/>
              <c:extLst>
                <c:ext xmlns:c15="http://schemas.microsoft.com/office/drawing/2012/chart" uri="{CE6537A1-D6FC-4f65-9D91-7224C49458BB}">
                  <c15:layout>
                    <c:manualLayout>
                      <c:w val="8.5170340681362727e-002"/>
                      <c:h val="0.11607142857142858"/>
                    </c:manualLayout>
                  </c15:layout>
                </c:ext>
              </c:extLst>
            </c:dLbl>
            <c:spPr>
              <a:solidFill>
                <a:schemeClr val="bg1"/>
              </a:solidFill>
            </c:spPr>
            <c:txPr>
              <a:bodyPr rot="0" horzOverflow="overflow" anchor="ctr" anchorCtr="1">
                <a:spAutoFit/>
              </a:bodyPr>
              <a:lstStyle/>
              <a:p>
                <a:pPr algn="ctr" rtl="0">
                  <a:defRPr sz="1000">
                    <a:solidFill>
                      <a:schemeClr val="tx1"/>
                    </a:solidFill>
                  </a:defRPr>
                </a:pPr>
                <a:endParaRPr lang="ja-JP" altLang="en-US"/>
              </a:p>
            </c:txPr>
            <c:showLegendKey val="0"/>
            <c:showVal val="1"/>
            <c:showCatName val="0"/>
            <c:showSerName val="1"/>
            <c:showPercent val="0"/>
            <c:showBubbleSize val="0"/>
          </c:dLbls>
          <c:cat>
            <c:strRef>
              <c:f>図３!$C$3:$D$3</c:f>
              <c:strCache>
                <c:ptCount val="2"/>
                <c:pt idx="0">
                  <c:v>①事業所数</c:v>
                </c:pt>
                <c:pt idx="1">
                  <c:v>②従業者数</c:v>
                </c:pt>
              </c:strCache>
            </c:strRef>
          </c:cat>
          <c:val>
            <c:numRef>
              <c:f>[00　結果の概要_表作成用.xlsx]図３!$C$5:$D$5</c:f>
              <c:numCache>
                <c:formatCode xml:space="preserve">0.0_ </c:formatCode>
                <c:ptCount val="2"/>
                <c:pt idx="0">
                  <c:v>17.57749507256764</c:v>
                </c:pt>
                <c:pt idx="1">
                  <c:v>12.33568870390088</c:v>
                </c:pt>
              </c:numCache>
            </c:numRef>
          </c:val>
        </c:ser>
        <c:ser>
          <c:idx val="2"/>
          <c:order val="2"/>
          <c:tx>
            <c:strRef>
              <c:f>図３!$B$6</c:f>
              <c:strCache>
                <c:ptCount val="1"/>
                <c:pt idx="0">
                  <c:v>10～19人</c:v>
                </c:pt>
              </c:strCache>
            </c:strRef>
          </c:tx>
          <c:spPr>
            <a:pattFill prst="dashVert">
              <a:fgClr>
                <a:schemeClr val="accent1"/>
              </a:fgClr>
              <a:bgClr>
                <a:schemeClr val="bg1"/>
              </a:bgClr>
            </a:pattFill>
            <a:ln>
              <a:solidFill>
                <a:schemeClr val="tx1"/>
              </a:solidFill>
            </a:ln>
          </c:spPr>
          <c:invertIfNegative val="0"/>
          <c:dPt>
            <c:idx val="0"/>
            <c:invertIfNegative val="0"/>
            <c:bubble3D val="0"/>
          </c:dPt>
          <c:dPt>
            <c:idx val="1"/>
            <c:invertIfNegative val="0"/>
            <c:bubble3D val="0"/>
          </c:dPt>
          <c:dLbls>
            <c:dLbl>
              <c:idx val="0"/>
              <c:layout>
                <c:manualLayout>
                  <c:x val="-2.1018414782320548e-004"/>
                  <c:y val="2.4845331833520811e-003"/>
                </c:manualLayout>
              </c:layout>
              <c:tx>
                <c:rich>
                  <a:bodyPr>
                    <a:noAutofit/>
                  </a:bodyPr>
                  <a:lstStyle/>
                  <a:p>
                    <a:pPr>
                      <a:defRPr kumimoji="0" sz="1000" kern="1200">
                        <a:solidFill>
                          <a:schemeClr val="tx1"/>
                        </a:solidFill>
                      </a:defRPr>
                    </a:pPr>
                    <a:r>
                      <a:rPr kumimoji="0" lang="ja-JP" altLang="en-US" sz="1000" kern="1200">
                        <a:solidFill>
                          <a:schemeClr val="tx1"/>
                        </a:solidFill>
                      </a:rPr>
                      <a:t>10～19人</a:t>
                    </a:r>
                    <a:endParaRPr kumimoji="0" lang="ja-JP" altLang="en-US" sz="1000" kern="1200">
                      <a:solidFill>
                        <a:schemeClr val="tx1"/>
                      </a:solidFill>
                    </a:endParaRPr>
                  </a:p>
                  <a:p>
                    <a:pPr>
                      <a:defRPr kumimoji="0" sz="1000" kern="1200">
                        <a:solidFill>
                          <a:schemeClr val="tx1"/>
                        </a:solidFill>
                      </a:defRPr>
                    </a:pPr>
                    <a:r>
                      <a:rPr kumimoji="0" lang="ja-JP" altLang="en-US" sz="1000" kern="1200">
                        <a:solidFill>
                          <a:schemeClr val="tx1"/>
                        </a:solidFill>
                      </a:rPr>
                      <a:t>11.5%</a:t>
                    </a:r>
                    <a:endParaRPr kumimoji="0" lang="ja-JP" altLang="en-US" sz="1000" kern="1200">
                      <a:solidFill>
                        <a:schemeClr val="tx1"/>
                      </a:solidFill>
                    </a:endParaRPr>
                  </a:p>
                </c:rich>
              </c:tx>
              <c:spPr>
                <a:solidFill>
                  <a:schemeClr val="bg1"/>
                </a:solidFill>
              </c:spPr>
              <c:showLegendKey val="0"/>
              <c:showVal val="1"/>
              <c:showCatName val="0"/>
              <c:showSerName val="1"/>
              <c:showPercent val="0"/>
              <c:showBubbleSize val="0"/>
              <c:extLst>
                <c:ext xmlns:c15="http://schemas.microsoft.com/office/drawing/2012/chart" uri="{CE6537A1-D6FC-4f65-9D91-7224C49458BB}">
                  <c15:layout>
                    <c:manualLayout>
                      <c:w val="9.6192384769539077e-002"/>
                      <c:h val="0.125"/>
                    </c:manualLayout>
                  </c15:layout>
                </c:ext>
              </c:extLst>
            </c:dLbl>
            <c:dLbl>
              <c:idx val="1"/>
              <c:layout/>
              <c:tx>
                <c:rich>
                  <a:bodyPr>
                    <a:spAutoFit/>
                  </a:bodyPr>
                  <a:lstStyle/>
                  <a:p>
                    <a:pPr>
                      <a:defRPr sz="1000">
                        <a:solidFill>
                          <a:schemeClr val="tx1"/>
                        </a:solidFill>
                      </a:defRPr>
                    </a:pPr>
                    <a:fld id="{8B6DE22A-C024-402E-9CA1-E6D26B173C22}" type="SERIESNAME">
                      <a:rPr kumimoji="0" lang="ja-JP" altLang="en-US" sz="1000" kern="1200">
                        <a:solidFill>
                          <a:schemeClr val="tx1"/>
                        </a:solidFill>
                      </a:rPr>
                      <a:t>[系列名]</a:t>
                    </a:fld>
                    <a:endParaRPr kumimoji="0" lang="ja-JP" altLang="en-US" sz="1000" kern="1200">
                      <a:solidFill>
                        <a:schemeClr val="tx1"/>
                      </a:solidFill>
                    </a:endParaRPr>
                  </a:p>
                  <a:p>
                    <a:pPr>
                      <a:defRPr sz="1000">
                        <a:solidFill>
                          <a:schemeClr val="tx1"/>
                        </a:solidFill>
                      </a:defRPr>
                    </a:pPr>
                    <a:r>
                      <a:rPr kumimoji="0" lang="ja-JP" altLang="en-US" sz="1000" kern="1200">
                        <a:solidFill>
                          <a:schemeClr val="tx1"/>
                        </a:solidFill>
                      </a:rPr>
                      <a:t> </a:t>
                    </a:r>
                    <a:fld id="{2D7E7B19-06BF-46FF-9135-E8632F04AD9D}" type="VALUE">
                      <a:rPr kumimoji="0" lang="ja-JP" altLang="en-US" sz="1000" kern="1200">
                        <a:solidFill>
                          <a:schemeClr val="tx1"/>
                        </a:solidFill>
                      </a:rPr>
                      <a:t>[値]</a:t>
                    </a:fld>
                    <a:r>
                      <a:rPr kumimoji="0" lang="ja-JP" altLang="en-US" sz="1000" kern="1200">
                        <a:solidFill>
                          <a:schemeClr val="tx1"/>
                        </a:solidFill>
                      </a:rPr>
                      <a:t>%</a:t>
                    </a:r>
                    <a:endParaRPr kumimoji="0" lang="ja-JP" altLang="en-US" sz="1000" kern="1200">
                      <a:solidFill>
                        <a:schemeClr val="tx1"/>
                      </a:solidFill>
                    </a:endParaRPr>
                  </a:p>
                </c:rich>
              </c:tx>
              <c:spPr>
                <a:solidFill>
                  <a:schemeClr val="bg1"/>
                </a:solidFill>
              </c:spPr>
              <c:showLegendKey val="0"/>
              <c:showVal val="1"/>
              <c:showCatName val="0"/>
              <c:showSerName val="1"/>
              <c:showPercent val="0"/>
              <c:showBubbleSize val="0"/>
            </c:dLbl>
            <c:spPr>
              <a:solidFill>
                <a:schemeClr val="bg1"/>
              </a:solidFill>
            </c:spPr>
            <c:txPr>
              <a:bodyPr rot="0" horzOverflow="overflow" anchor="ctr" anchorCtr="1">
                <a:spAutoFit/>
              </a:bodyPr>
              <a:lstStyle/>
              <a:p>
                <a:pPr algn="ctr" rtl="0">
                  <a:defRPr sz="1000">
                    <a:solidFill>
                      <a:schemeClr val="tx1"/>
                    </a:solidFill>
                  </a:defRPr>
                </a:pPr>
                <a:endParaRPr lang="ja-JP" altLang="en-US"/>
              </a:p>
            </c:txPr>
            <c:showLegendKey val="0"/>
            <c:showVal val="1"/>
            <c:showCatName val="0"/>
            <c:showSerName val="1"/>
            <c:showPercent val="0"/>
            <c:showBubbleSize val="0"/>
          </c:dLbls>
          <c:cat>
            <c:strRef>
              <c:f>図３!$C$3:$D$3</c:f>
              <c:strCache>
                <c:ptCount val="2"/>
                <c:pt idx="0">
                  <c:v>①事業所数</c:v>
                </c:pt>
                <c:pt idx="1">
                  <c:v>②従業者数</c:v>
                </c:pt>
              </c:strCache>
            </c:strRef>
          </c:cat>
          <c:val>
            <c:numRef>
              <c:f>[00　結果の概要_表作成用.xlsx]図３!$C$6:$D$6</c:f>
              <c:numCache>
                <c:formatCode xml:space="preserve">0.0_ </c:formatCode>
                <c:ptCount val="2"/>
                <c:pt idx="0">
                  <c:v>11.503314818132951</c:v>
                </c:pt>
                <c:pt idx="1">
                  <c:v>16.859936114606526</c:v>
                </c:pt>
              </c:numCache>
            </c:numRef>
          </c:val>
        </c:ser>
        <c:ser>
          <c:idx val="3"/>
          <c:order val="3"/>
          <c:tx>
            <c:strRef>
              <c:f>図３!$B$7</c:f>
              <c:strCache>
                <c:ptCount val="1"/>
                <c:pt idx="0">
                  <c:v>20～29人</c:v>
                </c:pt>
              </c:strCache>
            </c:strRef>
          </c:tx>
          <c:spPr>
            <a:pattFill prst="pct30">
              <a:fgClr>
                <a:schemeClr val="accent1"/>
              </a:fgClr>
              <a:bgClr>
                <a:schemeClr val="bg1"/>
              </a:bgClr>
            </a:pattFill>
            <a:ln>
              <a:solidFill>
                <a:schemeClr val="tx1"/>
              </a:solidFill>
            </a:ln>
          </c:spPr>
          <c:invertIfNegative val="0"/>
          <c:dPt>
            <c:idx val="0"/>
            <c:invertIfNegative val="0"/>
            <c:bubble3D val="0"/>
          </c:dPt>
          <c:dPt>
            <c:idx val="1"/>
            <c:invertIfNegative val="0"/>
            <c:bubble3D val="0"/>
          </c:dPt>
          <c:dLbls>
            <c:dLbl>
              <c:idx val="0"/>
              <c:layout>
                <c:manualLayout>
                  <c:x val="-8.5624635096965579e-002"/>
                  <c:y val="-0.23412260967379078"/>
                </c:manualLayout>
              </c:layout>
              <c:tx>
                <c:rich>
                  <a:bodyPr>
                    <a:noAutofit/>
                  </a:bodyPr>
                  <a:lstStyle/>
                  <a:p>
                    <a:pPr>
                      <a:defRPr kumimoji="0" sz="1000" kern="1200">
                        <a:solidFill>
                          <a:schemeClr val="tx1"/>
                        </a:solidFill>
                      </a:defRPr>
                    </a:pPr>
                    <a:r>
                      <a:rPr kumimoji="0" lang="ja-JP" altLang="en-US" sz="1000" kern="1200">
                        <a:solidFill>
                          <a:schemeClr val="tx1"/>
                        </a:solidFill>
                      </a:rPr>
                      <a:t>20～29人</a:t>
                    </a:r>
                    <a:endParaRPr kumimoji="0" lang="ja-JP" altLang="en-US" sz="1000" kern="1200">
                      <a:solidFill>
                        <a:schemeClr val="tx1"/>
                      </a:solidFill>
                    </a:endParaRPr>
                  </a:p>
                  <a:p>
                    <a:pPr>
                      <a:defRPr kumimoji="0" sz="1000" kern="1200">
                        <a:solidFill>
                          <a:schemeClr val="tx1"/>
                        </a:solidFill>
                      </a:defRPr>
                    </a:pPr>
                    <a:r>
                      <a:rPr kumimoji="0" lang="ja-JP" altLang="en-US" sz="1000" kern="1200">
                        <a:solidFill>
                          <a:schemeClr val="tx1"/>
                        </a:solidFill>
                      </a:rPr>
                      <a:t>4.9%</a:t>
                    </a:r>
                    <a:endParaRPr kumimoji="0" lang="ja-JP" altLang="en-US" sz="1000" kern="1200">
                      <a:solidFill>
                        <a:schemeClr val="tx1"/>
                      </a:solidFill>
                    </a:endParaRPr>
                  </a:p>
                </c:rich>
              </c:tx>
              <c:spPr>
                <a:solidFill>
                  <a:sysClr val="window" lastClr="FFFFFF"/>
                </a:solidFill>
              </c:spPr>
              <c:showLegendKey val="0"/>
              <c:showVal val="1"/>
              <c:showCatName val="0"/>
              <c:showSerName val="1"/>
              <c:showPercent val="0"/>
              <c:showBubbleSize val="0"/>
              <c:extLst>
                <c:ext xmlns:c15="http://schemas.microsoft.com/office/drawing/2012/chart" uri="{CE6537A1-D6FC-4f65-9D91-7224C49458BB}">
                  <c15:spPr>
                    <a:prstGeom prst="rect">
                      <a:avLst/>
                    </a:prstGeom>
                  </c15:spPr>
                  <c15:layout>
                    <c:manualLayout>
                      <c:w val="0.11222444889779559"/>
                      <c:h val="0.15848214285714285"/>
                    </c:manualLayout>
                  </c15:layout>
                </c:ext>
              </c:extLst>
            </c:dLbl>
            <c:dLbl>
              <c:idx val="1"/>
              <c:layout/>
              <c:tx>
                <c:rich>
                  <a:bodyPr>
                    <a:spAutoFit/>
                  </a:bodyPr>
                  <a:lstStyle/>
                  <a:p>
                    <a:pPr>
                      <a:defRPr sz="1000">
                        <a:solidFill>
                          <a:schemeClr val="tx1"/>
                        </a:solidFill>
                      </a:defRPr>
                    </a:pPr>
                    <a:fld id="{C62B90E3-638F-4881-9A22-9D4660E81319}" type="SERIESNAME">
                      <a:rPr kumimoji="0" lang="ja-JP" altLang="en-US" sz="1000" kern="1200">
                        <a:solidFill>
                          <a:schemeClr val="tx1"/>
                        </a:solidFill>
                      </a:rPr>
                      <a:t>[系列名]</a:t>
                    </a:fld>
                    <a:endParaRPr kumimoji="0" lang="ja-JP" altLang="en-US" sz="1000" kern="1200">
                      <a:solidFill>
                        <a:schemeClr val="tx1"/>
                      </a:solidFill>
                    </a:endParaRPr>
                  </a:p>
                  <a:p>
                    <a:pPr>
                      <a:defRPr sz="1000">
                        <a:solidFill>
                          <a:schemeClr val="tx1"/>
                        </a:solidFill>
                      </a:defRPr>
                    </a:pPr>
                    <a:r>
                      <a:rPr kumimoji="0" lang="ja-JP" altLang="en-US" sz="1000" kern="1200">
                        <a:solidFill>
                          <a:schemeClr val="tx1"/>
                        </a:solidFill>
                      </a:rPr>
                      <a:t> </a:t>
                    </a:r>
                    <a:fld id="{8E47DC71-ECCB-45DC-8BC8-61B0BC2C8543}" type="VALUE">
                      <a:rPr kumimoji="0" lang="ja-JP" altLang="en-US" sz="1000" kern="1200">
                        <a:solidFill>
                          <a:schemeClr val="tx1"/>
                        </a:solidFill>
                      </a:rPr>
                      <a:t>[値]</a:t>
                    </a:fld>
                    <a:r>
                      <a:rPr kumimoji="0" lang="ja-JP" altLang="en-US" sz="1000" kern="1200">
                        <a:solidFill>
                          <a:schemeClr val="tx1"/>
                        </a:solidFill>
                      </a:rPr>
                      <a:t>%</a:t>
                    </a:r>
                    <a:endParaRPr kumimoji="0" lang="ja-JP" altLang="en-US" sz="1000" kern="1200">
                      <a:solidFill>
                        <a:schemeClr val="tx1"/>
                      </a:solidFill>
                    </a:endParaRPr>
                  </a:p>
                </c:rich>
              </c:tx>
              <c:spPr>
                <a:solidFill>
                  <a:sysClr val="window" lastClr="FFFFFF"/>
                </a:solidFill>
              </c:spPr>
              <c:showLegendKey val="0"/>
              <c:showVal val="1"/>
              <c:showCatName val="0"/>
              <c:showSerName val="1"/>
              <c:showPercent val="0"/>
              <c:showBubbleSize val="0"/>
              <c:extLst>
                <c:ext xmlns:c15="http://schemas.microsoft.com/office/drawing/2012/chart" uri="{CE6537A1-D6FC-4f65-9D91-7224C49458BB}">
                  <c15:spPr>
                    <a:prstGeom prst="rect">
                      <a:avLst/>
                    </a:prstGeom>
                  </c15:spPr>
                </c:ext>
              </c:extLst>
            </c:dLbl>
            <c:spPr>
              <a:solidFill>
                <a:sysClr val="window" lastClr="FFFFFF"/>
              </a:solidFill>
            </c:spPr>
            <c:txPr>
              <a:bodyPr rot="0" horzOverflow="overflow" anchor="ctr" anchorCtr="1">
                <a:spAutoFit/>
              </a:bodyPr>
              <a:lstStyle/>
              <a:p>
                <a:pPr algn="ctr" rtl="0">
                  <a:defRPr sz="1000">
                    <a:solidFill>
                      <a:schemeClr val="tx1"/>
                    </a:solidFill>
                  </a:defRPr>
                </a:pPr>
                <a:endParaRPr lang="ja-JP" altLang="en-US"/>
              </a:p>
            </c:txPr>
            <c:showLegendKey val="0"/>
            <c:showVal val="1"/>
            <c:showCatName val="0"/>
            <c:showSerName val="1"/>
            <c:showPercent val="0"/>
            <c:showBubbleSize val="0"/>
            <c:extLst>
              <c:ext xmlns:c15="http://schemas.microsoft.com/office/drawing/2012/chart" uri="{CE6537A1-D6FC-4f65-9D91-7224C49458BB}">
                <c15:spPr>
                  <a:prstGeom prst="rect">
                    <a:avLst/>
                  </a:prstGeom>
                </c15:spPr>
                <c15:showLeaderLines val="1"/>
                <c15:leaderLines/>
              </c:ext>
            </c:extLst>
          </c:dLbls>
          <c:cat>
            <c:strRef>
              <c:f>図３!$C$3:$D$3</c:f>
              <c:strCache>
                <c:ptCount val="2"/>
                <c:pt idx="0">
                  <c:v>①事業所数</c:v>
                </c:pt>
                <c:pt idx="1">
                  <c:v>②従業者数</c:v>
                </c:pt>
              </c:strCache>
            </c:strRef>
          </c:cat>
          <c:val>
            <c:numRef>
              <c:f>[00　結果の概要_表作成用.xlsx]図３!$C$7:$D$7</c:f>
              <c:numCache>
                <c:formatCode xml:space="preserve">0.0_ </c:formatCode>
                <c:ptCount val="2"/>
                <c:pt idx="0">
                  <c:v>4.8915964880845726</c:v>
                </c:pt>
                <c:pt idx="1">
                  <c:v>12.637692382150808</c:v>
                </c:pt>
              </c:numCache>
            </c:numRef>
          </c:val>
        </c:ser>
        <c:ser>
          <c:idx val="4"/>
          <c:order val="4"/>
          <c:tx>
            <c:strRef>
              <c:f>図３!$B$8</c:f>
              <c:strCache>
                <c:ptCount val="1"/>
                <c:pt idx="0">
                  <c:v>30人以上</c:v>
                </c:pt>
              </c:strCache>
            </c:strRef>
          </c:tx>
          <c:spPr>
            <a:pattFill prst="dotGrid">
              <a:fgClr>
                <a:schemeClr val="accent1"/>
              </a:fgClr>
              <a:bgClr>
                <a:schemeClr val="bg1"/>
              </a:bgClr>
            </a:pattFill>
            <a:ln>
              <a:solidFill>
                <a:schemeClr val="tx1"/>
              </a:solidFill>
            </a:ln>
          </c:spPr>
          <c:invertIfNegative val="0"/>
          <c:dPt>
            <c:idx val="0"/>
            <c:invertIfNegative val="0"/>
            <c:bubble3D val="0"/>
          </c:dPt>
          <c:dPt>
            <c:idx val="1"/>
            <c:invertIfNegative val="0"/>
            <c:bubble3D val="0"/>
          </c:dPt>
          <c:dLbls>
            <c:dLbl>
              <c:idx val="0"/>
              <c:layout>
                <c:manualLayout>
                  <c:x val="-4.3078282549350673e-005"/>
                  <c:y val="-0.24151645106861641"/>
                </c:manualLayout>
              </c:layout>
              <c:tx>
                <c:rich>
                  <a:bodyPr>
                    <a:noAutofit/>
                  </a:bodyPr>
                  <a:lstStyle/>
                  <a:p>
                    <a:pPr>
                      <a:defRPr sz="1000">
                        <a:solidFill>
                          <a:schemeClr val="tx1"/>
                        </a:solidFill>
                      </a:defRPr>
                    </a:pPr>
                    <a:fld id="{120D4422-A28D-46CC-8E61-6D157290D9F9}" type="SERIESNAME">
                      <a:rPr kumimoji="0" lang="ja-JP" altLang="en-US" sz="1000" kern="1200">
                        <a:solidFill>
                          <a:schemeClr val="tx1"/>
                        </a:solidFill>
                      </a:rPr>
                      <a:t>[系列名]</a:t>
                    </a:fld>
                    <a:endParaRPr kumimoji="0" lang="ja-JP" altLang="en-US" sz="1000" kern="1200">
                      <a:solidFill>
                        <a:schemeClr val="tx1"/>
                      </a:solidFill>
                    </a:endParaRPr>
                  </a:p>
                  <a:p>
                    <a:pPr>
                      <a:defRPr sz="1000">
                        <a:solidFill>
                          <a:schemeClr val="tx1"/>
                        </a:solidFill>
                      </a:defRPr>
                    </a:pPr>
                    <a:fld id="{B67B98F5-CD51-4CBE-8E0A-0D2669BD7A23}" type="VALUE">
                      <a:rPr kumimoji="0" lang="ja-JP" altLang="en-US" sz="1000" kern="1200">
                        <a:solidFill>
                          <a:schemeClr val="tx1"/>
                        </a:solidFill>
                      </a:rPr>
                      <a:t>[値]</a:t>
                    </a:fld>
                    <a:r>
                      <a:rPr kumimoji="0" lang="ja-JP" altLang="en-US" sz="1000" kern="1200">
                        <a:solidFill>
                          <a:schemeClr val="tx1"/>
                        </a:solidFill>
                      </a:rPr>
                      <a:t>%</a:t>
                    </a:r>
                    <a:endParaRPr kumimoji="0" lang="ja-JP" altLang="en-US" sz="1000" kern="1200">
                      <a:solidFill>
                        <a:schemeClr val="tx1"/>
                      </a:solidFill>
                    </a:endParaRPr>
                  </a:p>
                </c:rich>
              </c:tx>
              <c:spPr>
                <a:solidFill>
                  <a:sysClr val="window" lastClr="FFFFFF"/>
                </a:solidFill>
              </c:spPr>
              <c:showLegendKey val="0"/>
              <c:showVal val="1"/>
              <c:showCatName val="0"/>
              <c:showSerName val="1"/>
              <c:showPercent val="0"/>
              <c:showBubbleSize val="0"/>
              <c:extLst>
                <c:ext xmlns:c15="http://schemas.microsoft.com/office/drawing/2012/chart" uri="{CE6537A1-D6FC-4f65-9D91-7224C49458BB}">
                  <c15:spPr>
                    <a:prstGeom prst="rect">
                      <a:avLst/>
                    </a:prstGeom>
                  </c15:spPr>
                  <c15:layout>
                    <c:manualLayout>
                      <c:w val="0.10821643286573146"/>
                      <c:h val="0.14955357142857142"/>
                    </c:manualLayout>
                  </c15:layout>
                </c:ext>
              </c:extLst>
            </c:dLbl>
            <c:dLbl>
              <c:idx val="1"/>
              <c:layout/>
              <c:tx>
                <c:rich>
                  <a:bodyPr>
                    <a:noAutofit/>
                  </a:bodyPr>
                  <a:lstStyle/>
                  <a:p>
                    <a:pPr>
                      <a:defRPr sz="1000">
                        <a:solidFill>
                          <a:schemeClr val="tx1"/>
                        </a:solidFill>
                      </a:defRPr>
                    </a:pPr>
                    <a:fld id="{4587A175-54AB-4987-AE51-310DF99495B4}" type="SERIESNAME">
                      <a:rPr kumimoji="0" lang="ja-JP" altLang="en-US" sz="1000" kern="1200">
                        <a:solidFill>
                          <a:schemeClr val="tx1"/>
                        </a:solidFill>
                      </a:rPr>
                      <a:t>[系列名]</a:t>
                    </a:fld>
                    <a:endParaRPr kumimoji="0" lang="ja-JP" altLang="en-US" sz="1000" kern="1200">
                      <a:solidFill>
                        <a:schemeClr val="tx1"/>
                      </a:solidFill>
                    </a:endParaRPr>
                  </a:p>
                  <a:p>
                    <a:pPr>
                      <a:defRPr sz="1000">
                        <a:solidFill>
                          <a:schemeClr val="tx1"/>
                        </a:solidFill>
                      </a:defRPr>
                    </a:pPr>
                    <a:fld id="{10291837-D9A2-4837-9F93-CF73C3101730}" type="VALUE">
                      <a:rPr kumimoji="0" lang="ja-JP" altLang="en-US" sz="1000" kern="1200">
                        <a:solidFill>
                          <a:schemeClr val="tx1"/>
                        </a:solidFill>
                      </a:rPr>
                      <a:t>[値]</a:t>
                    </a:fld>
                    <a:r>
                      <a:rPr kumimoji="0" lang="ja-JP" altLang="en-US" sz="1000" kern="1200">
                        <a:solidFill>
                          <a:schemeClr val="tx1"/>
                        </a:solidFill>
                      </a:rPr>
                      <a:t>％</a:t>
                    </a:r>
                    <a:endParaRPr kumimoji="0" lang="ja-JP" altLang="en-US" sz="1000" kern="1200">
                      <a:solidFill>
                        <a:schemeClr val="tx1"/>
                      </a:solidFill>
                    </a:endParaRPr>
                  </a:p>
                </c:rich>
              </c:tx>
              <c:spPr>
                <a:solidFill>
                  <a:sysClr val="window" lastClr="FFFFFF"/>
                </a:solidFill>
              </c:spPr>
              <c:dLblPos val="ctr"/>
              <c:showLegendKey val="0"/>
              <c:showVal val="1"/>
              <c:showCatName val="0"/>
              <c:showSerName val="1"/>
              <c:showPercent val="0"/>
              <c:showBubbleSize val="0"/>
              <c:extLst>
                <c:ext xmlns:c15="http://schemas.microsoft.com/office/drawing/2012/chart" uri="{CE6537A1-D6FC-4f65-9D91-7224C49458BB}">
                  <c15:spPr>
                    <a:prstGeom prst="rect">
                      <a:avLst/>
                    </a:prstGeom>
                  </c15:spPr>
                  <c15:layout>
                    <c:manualLayout>
                      <c:w val="0.12625250501002003"/>
                      <c:h val="0.12276785714285714"/>
                    </c:manualLayout>
                  </c15:layout>
                </c:ext>
              </c:extLst>
            </c:dLbl>
            <c:spPr>
              <a:solidFill>
                <a:sysClr val="window" lastClr="FFFFFF"/>
              </a:solidFill>
            </c:spPr>
            <c:txPr>
              <a:bodyPr rot="0" horzOverflow="overflow" anchor="ctr" anchorCtr="1">
                <a:spAutoFit/>
              </a:bodyPr>
              <a:lstStyle/>
              <a:p>
                <a:pPr algn="ctr" rtl="0">
                  <a:defRPr sz="1000">
                    <a:solidFill>
                      <a:schemeClr val="tx1"/>
                    </a:solidFill>
                  </a:defRPr>
                </a:pPr>
                <a:endParaRPr lang="ja-JP" altLang="en-US"/>
              </a:p>
            </c:txPr>
            <c:dLblPos val="ctr"/>
            <c:showLegendKey val="0"/>
            <c:showVal val="1"/>
            <c:showCatName val="0"/>
            <c:showSerName val="1"/>
            <c:showPercent val="0"/>
            <c:showBubbleSize val="0"/>
            <c:extLst>
              <c:ext xmlns:c15="http://schemas.microsoft.com/office/drawing/2012/chart" uri="{CE6537A1-D6FC-4f65-9D91-7224C49458BB}">
                <c15:spPr>
                  <a:prstGeom prst="rect">
                    <a:avLst/>
                  </a:prstGeom>
                </c15:spPr>
                <c15:showLeaderLines val="1"/>
                <c15:leaderLines/>
              </c:ext>
            </c:extLst>
          </c:dLbls>
          <c:cat>
            <c:strRef>
              <c:f>図３!$C$3:$D$3</c:f>
              <c:strCache>
                <c:ptCount val="2"/>
                <c:pt idx="0">
                  <c:v>①事業所数</c:v>
                </c:pt>
                <c:pt idx="1">
                  <c:v>②従業者数</c:v>
                </c:pt>
              </c:strCache>
            </c:strRef>
          </c:cat>
          <c:val>
            <c:numRef>
              <c:f>[00　結果の概要_表作成用.xlsx]図３!$C$8:$D$8</c:f>
              <c:numCache>
                <c:formatCode xml:space="preserve">0.0_ </c:formatCode>
                <c:ptCount val="2"/>
                <c:pt idx="0">
                  <c:v>5.4291345636982618</c:v>
                </c:pt>
                <c:pt idx="1">
                  <c:v>44.830122930984416</c:v>
                </c:pt>
              </c:numCache>
            </c:numRef>
          </c:val>
        </c:ser>
        <c:ser>
          <c:idx val="5"/>
          <c:order val="5"/>
          <c:tx>
            <c:strRef>
              <c:f>図３!$B$9</c:f>
              <c:strCache>
                <c:ptCount val="1"/>
                <c:pt idx="0">
                  <c:v>出向・派遣
従業者のみ</c:v>
                </c:pt>
              </c:strCache>
            </c:strRef>
          </c:tx>
          <c:spPr>
            <a:pattFill prst="openDmnd">
              <a:fgClr>
                <a:schemeClr val="accent1"/>
              </a:fgClr>
              <a:bgClr>
                <a:schemeClr val="bg1"/>
              </a:bgClr>
            </a:pattFill>
            <a:ln>
              <a:solidFill>
                <a:schemeClr val="tx1"/>
              </a:solidFill>
            </a:ln>
          </c:spPr>
          <c:invertIfNegative val="0"/>
          <c:dPt>
            <c:idx val="0"/>
            <c:invertIfNegative val="0"/>
            <c:bubble3D val="0"/>
          </c:dPt>
          <c:dPt>
            <c:idx val="1"/>
            <c:invertIfNegative val="0"/>
            <c:bubble3D val="0"/>
          </c:dPt>
          <c:dLbls>
            <c:dLbl>
              <c:idx val="0"/>
              <c:layout>
                <c:manualLayout>
                  <c:x val="-6.4325974784214104e-002"/>
                  <c:y val="0.1653037120359955"/>
                </c:manualLayout>
              </c:layout>
              <c:tx>
                <c:rich>
                  <a:bodyPr>
                    <a:noAutofit/>
                  </a:bodyPr>
                  <a:lstStyle/>
                  <a:p>
                    <a:pPr>
                      <a:defRPr sz="1000">
                        <a:solidFill>
                          <a:schemeClr val="tx1"/>
                        </a:solidFill>
                      </a:defRPr>
                    </a:pPr>
                    <a:fld id="{97566A6D-7F04-48E5-9D47-694F8E9C9E81}" type="SERIESNAME">
                      <a:rPr kumimoji="0" lang="ja-JP" altLang="en-US" sz="800" kern="1200">
                        <a:solidFill>
                          <a:schemeClr val="tx1"/>
                        </a:solidFill>
                        <a:latin typeface="+mn-lt"/>
                      </a:rPr>
                      <a:t>[系列名]</a:t>
                    </a:fld>
                    <a:r>
                      <a:rPr kumimoji="0" lang="ja-JP" altLang="en-US" sz="1000" kern="1200">
                        <a:solidFill>
                          <a:schemeClr val="tx1"/>
                        </a:solidFill>
                        <a:latin typeface="+mn-lt"/>
                      </a:rPr>
                      <a:t>0.6%</a:t>
                    </a:r>
                    <a:endParaRPr kumimoji="0" lang="ja-JP" altLang="en-US" sz="800" kern="1200">
                      <a:solidFill>
                        <a:schemeClr val="tx1"/>
                      </a:solidFill>
                    </a:endParaRPr>
                  </a:p>
                </c:rich>
              </c:tx>
              <c:spPr>
                <a:ln>
                  <a:noFill/>
                </a:ln>
              </c:spPr>
              <c:showLegendKey val="0"/>
              <c:showVal val="0"/>
              <c:showCatName val="0"/>
              <c:showSerName val="1"/>
              <c:showPercent val="0"/>
              <c:showBubbleSize val="0"/>
              <c:extLst>
                <c:ext xmlns:c15="http://schemas.microsoft.com/office/drawing/2012/chart" uri="{CE6537A1-D6FC-4f65-9D91-7224C49458BB}">
                  <c15:layout>
                    <c:manualLayout>
                      <c:w val="0.14128256513026052"/>
                      <c:h val="0.11160714285714286"/>
                    </c:manualLayout>
                  </c15:layout>
                </c:ext>
              </c:extLst>
            </c:dLbl>
            <c:dLbl>
              <c:idx val="1"/>
              <c:delete val="1"/>
            </c:dLbl>
            <c:spPr>
              <a:ln>
                <a:noFill/>
              </a:ln>
            </c:spPr>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1"/>
            <c:showPercent val="0"/>
            <c:showBubbleSize val="0"/>
            <c:extLst>
              <c:ext xmlns:c15="http://schemas.microsoft.com/office/drawing/2012/chart" uri="{CE6537A1-D6FC-4f65-9D91-7224C49458BB}">
                <c15:showLeaderLines val="1"/>
                <c15:leaderLines/>
              </c:ext>
            </c:extLst>
          </c:dLbls>
          <c:cat>
            <c:strRef>
              <c:f>図３!$C$3:$D$3</c:f>
              <c:strCache>
                <c:ptCount val="2"/>
                <c:pt idx="0">
                  <c:v>①事業所数</c:v>
                </c:pt>
                <c:pt idx="1">
                  <c:v>②従業者数</c:v>
                </c:pt>
              </c:strCache>
            </c:strRef>
          </c:cat>
          <c:val>
            <c:numRef>
              <c:f>[00　結果の概要_表作成用.xlsx]図３!$C$9:$D$9</c:f>
              <c:numCache>
                <c:formatCode>General</c:formatCode>
                <c:ptCount val="2"/>
                <c:pt idx="0" formatCode="0.0_ ">
                  <c:v>0.64504569073642715</c:v>
                </c:pt>
                <c:pt idx="1">
                  <c:v>0</c:v>
                </c:pt>
              </c:numCache>
            </c:numRef>
          </c:val>
        </c:ser>
        <c:dLbls>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100"/>
        <c:axId val="1"/>
        <c:axId val="2"/>
      </c:barChart>
      <c:catAx>
        <c:axId val="1"/>
        <c:scaling>
          <c:orientation val="maxMin"/>
        </c:scaling>
        <c:delete val="0"/>
        <c:axPos val="l"/>
        <c:numFmt formatCode="0.0_ "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tickLblSkip val="1"/>
        <c:noMultiLvlLbl val="0"/>
      </c:catAx>
      <c:valAx>
        <c:axId val="2"/>
        <c:scaling>
          <c:orientation val="minMax"/>
        </c:scaling>
        <c:delete val="0"/>
        <c:axPos val="t"/>
        <c:numFmt formatCode="0.0_ " sourceLinked="1"/>
        <c:majorTickMark val="out"/>
        <c:minorTickMark val="none"/>
        <c:tickLblPos val="high"/>
        <c:txPr>
          <a:bodyPr horzOverflow="overflow" anchor="ctr" anchorCtr="1"/>
          <a:lstStyle/>
          <a:p>
            <a:pPr algn="ctr" rtl="0">
              <a:defRPr sz="1000">
                <a:solidFill>
                  <a:schemeClr val="tx1"/>
                </a:solidFill>
              </a:defRPr>
            </a:pPr>
            <a:endParaRPr lang="ja-JP" altLang="en-US"/>
          </a:p>
        </c:txPr>
        <c:crossAx val="1"/>
        <c:crosses val="autoZero"/>
        <c:crossBetween val="between"/>
      </c:valAx>
    </c:plotArea>
    <c:plotVisOnly val="1"/>
    <c:dispBlanksAs val="gap"/>
    <c:showDLblsOverMax val="0"/>
  </c:chart>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drawings/drawing2.xml><?xml version="1.0" encoding="utf-8"?>
<c:userShapes xmlns:c="http://schemas.openxmlformats.org/drawingml/2006/chart">
  <cdr:relSizeAnchor xmlns:cdr="http://schemas.openxmlformats.org/drawingml/2006/chartDrawing">
    <cdr:from>
      <cdr:x>0.45400000000000001</cdr:x>
      <cdr:y>0.42499999999999999</cdr:y>
    </cdr:from>
    <cdr:to>
      <cdr:x>0.58850000000000002</cdr:x>
      <cdr:y>0.62450000000000006</cdr:y>
    </cdr:to>
    <cdr:sp macro="" textlink="">
      <cdr:nvSpPr>
        <cdr:cNvPr id="2" name="テキスト 1"/>
        <cdr:cNvSpPr txBox="1">
          <a:spLocks xmlns:a="http://schemas.openxmlformats.org/drawingml/2006/main" noChangeArrowheads="1"/>
        </cdr:cNvSpPr>
      </cdr:nvSpPr>
      <cdr:spPr>
        <a:xfrm xmlns:a="http://schemas.openxmlformats.org/drawingml/2006/main">
          <a:off x="9662327" y="1371234"/>
          <a:ext cx="2862517" cy="643673"/>
        </a:xfrm>
        <a:prstGeom xmlns:a="http://schemas.openxmlformats.org/drawingml/2006/main" prst="rect">
          <a:avLst/>
        </a:prstGeom>
        <a:solidFill xmlns:a="http://schemas.openxmlformats.org/drawingml/2006/main">
          <a:srgbClr val="FFFFFF"/>
        </a:solidFill>
        <a:ln xmlns:a="http://schemas.openxmlformats.org/drawingml/2006/main">
          <a:miter/>
        </a:ln>
      </cdr:spPr>
      <cdr:txBody>
        <a:bodyPr xmlns:a="http://schemas.openxmlformats.org/drawingml/2006/main" vertOverflow="overflow" horzOverflow="overflow" wrap="square" lIns="74295" tIns="8890" rIns="74295" bIns="8890" upright="1"/>
        <a:lstStyle xmlns:a="http://schemas.openxmlformats.org/drawingml/2006/main"/>
        <a:p xmlns:a="http://schemas.openxmlformats.org/drawingml/2006/main">
          <a:pPr algn="ctr"/>
          <a:r>
            <a:rPr sz="1000">
              <a:latin typeface="ＭＳ 明朝"/>
              <a:ea typeface="ＭＳ 明朝"/>
            </a:rPr>
            <a:t>従業者数</a:t>
          </a:r>
          <a:endParaRPr sz="1000">
            <a:latin typeface="ＭＳ 明朝"/>
            <a:ea typeface="ＭＳ 明朝"/>
          </a:endParaRPr>
        </a:p>
        <a:p xmlns:a="http://schemas.openxmlformats.org/drawingml/2006/main">
          <a:pPr algn="ctr"/>
          <a:r>
            <a:rPr sz="1000">
              <a:latin typeface="ＭＳ 明朝"/>
              <a:ea typeface="ＭＳ 明朝"/>
            </a:rPr>
            <a:t/>
          </a:r>
          <a:endParaRPr sz="1000">
            <a:latin typeface="ＭＳ 明朝"/>
            <a:ea typeface="ＭＳ 明朝"/>
          </a:endParaRPr>
        </a:p>
        <a:p xmlns:a="http://schemas.openxmlformats.org/drawingml/2006/main">
          <a:pPr algn="ctr"/>
          <a:r>
            <a:rPr sz="1000">
              <a:latin typeface="ＭＳ 明朝"/>
              <a:ea typeface="ＭＳ 明朝"/>
            </a:rPr>
            <a:t>51,655人</a:t>
          </a:r>
          <a:endParaRPr sz="1000">
            <a:latin typeface="ＭＳ 明朝"/>
            <a:ea typeface="ＭＳ 明朝"/>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docProps/app.xml><?xml version="1.0" encoding="utf-8"?>
<Properties xmlns:vt="http://schemas.openxmlformats.org/officeDocument/2006/docPropsVTypes" xmlns="http://schemas.openxmlformats.org/officeDocument/2006/extended-properties">
  <Template>Normal.dot</Template>
  <TotalTime>2223</TotalTime>
  <Pages>6</Pages>
  <Words>824</Words>
  <Characters>3992</Characters>
  <Application>Microsoft Office Word</Application>
  <Lines>3355</Lines>
  <Paragraphs>641</Paragraphs>
  <CharactersWithSpaces>4384</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柴田　耕一郎</dc:creator>
  <cp:lastModifiedBy>岡野　真由美</cp:lastModifiedBy>
  <cp:lastPrinted>2024-03-11T08:31:20Z</cp:lastPrinted>
  <dcterms:created xsi:type="dcterms:W3CDTF">2014-12-17T00:18:00Z</dcterms:created>
  <dcterms:modified xsi:type="dcterms:W3CDTF">2024-03-11T08:27:16Z</dcterms:modified>
  <cp:revision>130</cp:revision>
</cp:coreProperties>
</file>