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78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35"/>
      </w:tblGrid>
      <w:tr>
        <w:trPr>
          <w:trHeight w:val="58" w:hRule="atLeast"/>
        </w:trPr>
        <w:tc>
          <w:tcPr>
            <w:tcW w:w="7835" w:type="dxa"/>
            <w:tcBorders>
              <w:top w:val="nil"/>
              <w:left w:val="nil"/>
              <w:bottom w:val="nil"/>
              <w:right w:val="nil"/>
              <w:tl2br w:val="none" w:color="auto" w:sz="0" w:space="0"/>
              <w:tr2bl w:val="none" w:color="auto" w:sz="0" w:space="0"/>
            </w:tcBorders>
            <w:vAlign w:val="top"/>
          </w:tcPr>
          <w:p>
            <w:pPr>
              <w:pStyle w:val="0"/>
              <w:jc w:val="center"/>
              <w:rPr>
                <w:rFonts w:hint="default"/>
                <w:b w:val="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-550545</wp:posOffset>
                      </wp:positionH>
                      <wp:positionV relativeFrom="paragraph">
                        <wp:posOffset>-757555</wp:posOffset>
                      </wp:positionV>
                      <wp:extent cx="542290" cy="161925"/>
                      <wp:effectExtent l="0" t="0" r="635" b="635"/>
                      <wp:wrapNone/>
                      <wp:docPr id="1026" name="Text Box 11"/>
                      <a:graphic xmlns:a="http://schemas.openxmlformats.org/drawingml/2006/main">
                        <a:graphicData uri="http://schemas.microsoft.com/office/word/2010/wordprocessingShape">
                          <wps:wsp>
                            <wps:cNvPr id="1026" name="Text Box 11"/>
                            <wps:cNvSpPr txBox="1">
                              <a:spLocks noChangeArrowheads="1"/>
                            </wps:cNvSpPr>
                            <wps:spPr>
                              <a:xfrm>
                                <a:off x="0" y="0"/>
                                <a:ext cx="542290" cy="161925"/>
                              </a:xfrm>
                              <a:prstGeom prst="rect">
                                <a:avLst/>
                              </a:prstGeom>
                              <a:solidFill>
                                <a:srgbClr val="FFFFFF"/>
                              </a:solidFill>
                              <a:ln>
                                <a:noFill/>
                              </a:ln>
                            </wps:spPr>
                            <wps:txbx>
                              <w:txbxContent>
                                <w:p>
                                  <w:pPr>
                                    <w:pStyle w:val="0"/>
                                    <w:rPr>
                                      <w:rFonts w:hint="default"/>
                                    </w:rPr>
                                  </w:pPr>
                                  <w:r>
                                    <w:rPr>
                                      <w:rFonts w:hint="eastAsia"/>
                                    </w:rPr>
                                    <w:t>受付印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position-vertical-relative:text;z-index:4;mso-wrap-distance-left:9pt;width:42.7pt;height:12.75pt;mso-position-horizontal-relative:text;position:absolute;margin-left:-43.35pt;margin-top:-59.6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受付印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-777240</wp:posOffset>
                      </wp:positionH>
                      <wp:positionV relativeFrom="paragraph">
                        <wp:posOffset>-690880</wp:posOffset>
                      </wp:positionV>
                      <wp:extent cx="990600" cy="990600"/>
                      <wp:effectExtent l="635" t="635" r="29845" b="10795"/>
                      <wp:wrapNone/>
                      <wp:docPr id="1027" name="Oval 7"/>
                      <a:graphic xmlns:a="http://schemas.openxmlformats.org/drawingml/2006/main">
                        <a:graphicData uri="http://schemas.microsoft.com/office/word/2010/wordprocessingShape">
                          <wps:wsp>
                            <wps:cNvPr id="1027" name="Oval 7"/>
                            <wps:cNvSpPr>
                              <a:spLocks noChangeArrowheads="1"/>
                            </wps:cNvSpPr>
                            <wps:spPr>
                              <a:xfrm>
                                <a:off x="0" y="0"/>
                                <a:ext cx="990600" cy="990600"/>
                              </a:xfrm>
                              <a:prstGeom prst="ellipse">
                                <a:avLst/>
                              </a:prstGeom>
                              <a:noFill/>
                              <a:ln w="3175" cap="rnd">
                                <a:solidFill>
                                  <a:srgbClr val="000000"/>
                                </a:solidFill>
                                <a:prstDash val="sysDot"/>
                                <a:round/>
                                <a:headEnd/>
                                <a:tailEnd/>
                              </a:ln>
                            </wps:spPr>
                            <wps:bodyPr/>
                          </wps:wsp>
                        </a:graphicData>
                      </a:graphic>
                    </wp:anchor>
                  </w:drawing>
                </mc:Choice>
                <mc:Fallback>
                  <w:pict>
                    <v:oval id="Oval 7" style="mso-position-vertical-relative:text;z-index:3;mso-wrap-distance-left:9pt;width:78pt;height:78pt;mso-position-horizontal-relative:text;position:absolute;margin-left:-61.2pt;margin-top:-54.4pt;mso-wrap-distance-bottom:0pt;mso-wrap-distance-right:9pt;mso-wrap-distance-top:0pt;" o:spid="_x0000_s1027" o:allowincell="t" o:allowoverlap="t" filled="f" stroked="t" strokecolor="#000000" strokeweight="0.25pt" o:spt="3">
                      <v:fill/>
                      <v:stroke endcap="round" dashstyle="shortdot" filltype="solid"/>
                      <v:textbox style="layout-flow:horizontal;"/>
                      <v:imagedata o:title=""/>
                      <w10:wrap type="none" anchorx="text" anchory="text"/>
                    </v:oval>
                  </w:pict>
                </mc:Fallback>
              </mc:AlternateContent>
            </w:r>
            <w:r>
              <w:rPr>
                <w:rFonts w:hint="eastAsia" w:ascii="ＭＳ ゴシック" w:hAnsi="ＭＳ ゴシック" w:eastAsia="ＭＳ ゴシック"/>
                <w:b w:val="1"/>
                <w:sz w:val="24"/>
              </w:rPr>
              <w:t>軽度者に係る（介護予防）福祉用具貸与費の算定に関する質問</w:t>
            </w:r>
            <w:r>
              <w:rPr>
                <w:rFonts w:hint="default" w:ascii="ＭＳ ゴシック" w:hAnsi="ＭＳ ゴシック" w:eastAsia="ＭＳ ゴシック"/>
                <w:b w:val="1"/>
                <w:sz w:val="24"/>
              </w:rPr>
              <w:t>票</w:t>
            </w:r>
          </w:p>
        </w:tc>
      </w:tr>
    </w:tbl>
    <w:p>
      <w:pPr>
        <w:pStyle w:val="0"/>
        <w:ind w:firstLine="7894" w:firstLineChars="4172"/>
        <w:rPr>
          <w:rFonts w:hint="default"/>
        </w:rPr>
      </w:pPr>
      <w:r>
        <w:rPr>
          <w:rFonts w:hint="eastAsia"/>
        </w:rPr>
        <w:t>　　年　　月　　日</w:t>
      </w:r>
    </w:p>
    <w:p>
      <w:pPr>
        <w:pStyle w:val="0"/>
        <w:rPr>
          <w:rFonts w:hint="default"/>
        </w:rPr>
      </w:pPr>
      <w:r>
        <w:rPr>
          <w:rFonts w:hint="eastAsia"/>
        </w:rPr>
        <w:t>（宛先）三条市福祉保健部高齢介護課長</w:t>
      </w:r>
    </w:p>
    <w:p>
      <w:pPr>
        <w:pStyle w:val="0"/>
        <w:ind w:firstLine="189" w:firstLineChars="100"/>
        <w:rPr>
          <w:rFonts w:hint="default"/>
        </w:rPr>
      </w:pPr>
      <w:r>
        <w:rPr>
          <w:rFonts w:hint="eastAsia"/>
        </w:rPr>
        <w:t>次の（介護予防）福祉用具貸与費の算定の可否について確認願います。</w:t>
      </w:r>
    </w:p>
    <w:tbl>
      <w:tblPr>
        <w:tblStyle w:val="11"/>
        <w:tblW w:w="9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0"/>
        <w:gridCol w:w="1276"/>
        <w:gridCol w:w="2101"/>
        <w:gridCol w:w="6"/>
        <w:gridCol w:w="444"/>
        <w:gridCol w:w="992"/>
        <w:gridCol w:w="284"/>
        <w:gridCol w:w="7"/>
        <w:gridCol w:w="292"/>
        <w:gridCol w:w="291"/>
        <w:gridCol w:w="292"/>
        <w:gridCol w:w="292"/>
        <w:gridCol w:w="291"/>
        <w:gridCol w:w="292"/>
        <w:gridCol w:w="291"/>
        <w:gridCol w:w="292"/>
        <w:gridCol w:w="353"/>
      </w:tblGrid>
      <w:tr>
        <w:trPr>
          <w:trHeight w:val="91"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被　保　険　者</w:t>
            </w:r>
          </w:p>
        </w:tc>
        <w:tc>
          <w:tcPr>
            <w:tcW w:w="3383"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　</w:t>
            </w:r>
          </w:p>
        </w:tc>
        <w:tc>
          <w:tcPr>
            <w:tcW w:w="143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被保険者番号</w:t>
            </w:r>
          </w:p>
        </w:tc>
        <w:tc>
          <w:tcPr>
            <w:tcW w:w="291" w:type="dxa"/>
            <w:gridSpan w:val="2"/>
            <w:tcBorders>
              <w:top w:val="single" w:color="auto" w:sz="12" w:space="0"/>
              <w:left w:val="none" w:color="auto" w:sz="0" w:space="0"/>
              <w:bottom w:val="single" w:color="auto" w:sz="12" w:space="0"/>
              <w:right w:val="dashSmallGap" w:color="auto" w:sz="4" w:space="0"/>
              <w:tl2br w:val="none" w:color="auto" w:sz="0" w:space="0"/>
              <w:tr2bl w:val="none" w:color="auto" w:sz="0" w:space="0"/>
            </w:tcBorders>
            <w:vAlign w:val="top"/>
          </w:tcPr>
          <w:p>
            <w:pPr>
              <w:pStyle w:val="0"/>
              <w:ind w:left="-106" w:leftChars="-56"/>
              <w:rPr>
                <w:rFonts w:hint="default"/>
                <w:sz w:val="22"/>
              </w:rPr>
            </w:pPr>
            <w:r>
              <w:rPr>
                <w:rFonts w:hint="eastAsia"/>
                <w:sz w:val="22"/>
              </w:rPr>
              <w:t>０</w:t>
            </w:r>
          </w:p>
        </w:tc>
        <w:tc>
          <w:tcPr>
            <w:tcW w:w="292"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ind w:left="-96" w:leftChars="-51"/>
              <w:rPr>
                <w:rFonts w:hint="default"/>
              </w:rPr>
            </w:pPr>
            <w:r>
              <w:rPr>
                <w:rFonts w:hint="eastAsia"/>
                <w:sz w:val="22"/>
              </w:rPr>
              <w:t>０</w:t>
            </w:r>
          </w:p>
        </w:tc>
        <w:tc>
          <w:tcPr>
            <w:tcW w:w="291"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ind w:left="-89" w:leftChars="-47"/>
              <w:rPr>
                <w:rFonts w:hint="default"/>
              </w:rPr>
            </w:pPr>
            <w:r>
              <w:rPr>
                <w:rFonts w:hint="eastAsia"/>
                <w:sz w:val="22"/>
              </w:rPr>
              <w:t>０</w:t>
            </w:r>
          </w:p>
        </w:tc>
        <w:tc>
          <w:tcPr>
            <w:tcW w:w="292"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ind w:left="-95" w:leftChars="-50"/>
              <w:rPr>
                <w:rFonts w:hint="default"/>
              </w:rPr>
            </w:pPr>
            <w:r>
              <w:rPr>
                <w:rFonts w:hint="eastAsia"/>
                <w:sz w:val="22"/>
              </w:rPr>
              <w:t>０</w:t>
            </w:r>
          </w:p>
        </w:tc>
        <w:tc>
          <w:tcPr>
            <w:tcW w:w="292"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ind w:left="-87" w:leftChars="-46"/>
              <w:rPr>
                <w:rFonts w:hint="default"/>
              </w:rPr>
            </w:pPr>
            <w:r>
              <w:rPr>
                <w:rFonts w:hint="eastAsia"/>
                <w:sz w:val="22"/>
              </w:rPr>
              <w:t>０</w:t>
            </w:r>
          </w:p>
        </w:tc>
        <w:tc>
          <w:tcPr>
            <w:tcW w:w="291"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292"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291"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292" w:type="dxa"/>
            <w:tcBorders>
              <w:top w:val="single" w:color="auto" w:sz="12" w:space="0"/>
              <w:left w:val="dashSmallGap" w:color="auto" w:sz="4"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SmallGap"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468"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0"/>
                <w:kern w:val="0"/>
                <w:fitText w:val="1323" w:id="1"/>
              </w:rPr>
              <w:t>生年月</w:t>
            </w:r>
            <w:r>
              <w:rPr>
                <w:rFonts w:hint="eastAsia"/>
                <w:spacing w:val="1"/>
                <w:kern w:val="0"/>
                <w:fitText w:val="1323" w:id="1"/>
              </w:rPr>
              <w:t>日</w:t>
            </w:r>
          </w:p>
        </w:tc>
        <w:tc>
          <w:tcPr>
            <w:tcW w:w="3377"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757" w:firstLineChars="400"/>
              <w:rPr>
                <w:rFonts w:hint="default"/>
              </w:rPr>
            </w:pPr>
            <w:r>
              <w:rPr>
                <w:rFonts w:hint="eastAsia"/>
              </w:rPr>
              <w:t>　　年　　　月　　　日</w:t>
            </w:r>
          </w:p>
        </w:tc>
        <w:tc>
          <w:tcPr>
            <w:tcW w:w="1442" w:type="dxa"/>
            <w:gridSpan w:val="3"/>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ind w:right="-184"/>
              <w:rPr>
                <w:rFonts w:hint="default"/>
              </w:rPr>
            </w:pPr>
            <w:r>
              <w:rPr>
                <w:rFonts w:hint="eastAsia"/>
              </w:rPr>
              <w:t>要介護状態区分</w:t>
            </w:r>
          </w:p>
        </w:tc>
        <w:tc>
          <w:tcPr>
            <w:tcW w:w="2977" w:type="dxa"/>
            <w:gridSpan w:val="11"/>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□要支援１　□要支援２</w:t>
            </w:r>
          </w:p>
          <w:p>
            <w:pPr>
              <w:pStyle w:val="0"/>
              <w:rPr>
                <w:rFonts w:hint="default"/>
              </w:rPr>
            </w:pPr>
            <w:r>
              <w:rPr>
                <w:rFonts w:hint="eastAsia"/>
              </w:rPr>
              <w:t>□要介護１　□申請中</w:t>
            </w:r>
          </w:p>
        </w:tc>
      </w:tr>
      <w:tr>
        <w:trPr>
          <w:trHeight w:val="515"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7796" w:type="dxa"/>
            <w:gridSpan w:val="1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768"/>
              <w:rPr>
                <w:rFonts w:hint="default"/>
              </w:rPr>
            </w:pPr>
            <w:r>
              <w:rPr>
                <w:rFonts w:hint="eastAsia"/>
              </w:rPr>
              <w:t>三条市</w:t>
            </w:r>
          </w:p>
        </w:tc>
      </w:tr>
      <w:tr>
        <w:trPr>
          <w:trHeight w:val="998"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担当介護支援</w:t>
            </w:r>
          </w:p>
          <w:p>
            <w:pPr>
              <w:pStyle w:val="0"/>
              <w:jc w:val="center"/>
              <w:rPr>
                <w:rFonts w:hint="default"/>
              </w:rPr>
            </w:pPr>
            <w:r>
              <w:rPr>
                <w:rFonts w:hint="eastAsia"/>
              </w:rPr>
              <w:t>専門員</w:t>
            </w:r>
          </w:p>
        </w:tc>
        <w:tc>
          <w:tcPr>
            <w:tcW w:w="7796" w:type="dxa"/>
            <w:gridSpan w:val="1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768"/>
              <w:rPr>
                <w:rFonts w:hint="default"/>
              </w:rPr>
            </w:pPr>
            <w:r>
              <w:rPr>
                <w:rFonts w:hint="eastAsia"/>
              </w:rPr>
              <w:t>事業所名：</w:t>
            </w:r>
          </w:p>
          <w:p>
            <w:pPr>
              <w:pStyle w:val="0"/>
              <w:ind w:right="768"/>
              <w:rPr>
                <w:rFonts w:hint="default"/>
              </w:rPr>
            </w:pPr>
            <w:r>
              <w:rPr>
                <w:rFonts w:hint="eastAsia"/>
              </w:rPr>
              <w:t>担当者名：</w:t>
            </w:r>
          </w:p>
          <w:p>
            <w:pPr>
              <w:pStyle w:val="0"/>
              <w:ind w:right="768"/>
              <w:rPr>
                <w:rFonts w:hint="default"/>
              </w:rPr>
            </w:pPr>
            <w:r>
              <w:rPr>
                <w:rFonts w:hint="eastAsia"/>
              </w:rPr>
              <w:t>連絡先：　</w:t>
            </w:r>
          </w:p>
        </w:tc>
      </w:tr>
      <w:tr>
        <w:trPr>
          <w:trHeight w:val="602" w:hRule="atLeast"/>
        </w:trPr>
        <w:tc>
          <w:tcPr>
            <w:tcW w:w="17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108"/>
              <w:rPr>
                <w:rFonts w:hint="default"/>
              </w:rPr>
            </w:pPr>
            <w:r>
              <w:rPr>
                <w:rFonts w:hint="eastAsia"/>
              </w:rPr>
              <w:t>算定しようとする福祉用具の種目</w:t>
            </w:r>
          </w:p>
        </w:tc>
        <w:tc>
          <w:tcPr>
            <w:tcW w:w="7796" w:type="dxa"/>
            <w:gridSpan w:val="16"/>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right="-33"/>
              <w:rPr>
                <w:rFonts w:hint="default"/>
              </w:rPr>
            </w:pPr>
            <w:r>
              <w:rPr>
                <w:rFonts w:hint="eastAsia"/>
              </w:rPr>
              <w:t>□車いす　□車いす付属品　□移動用リフト　□特殊寝台　□特殊寝台付属品　</w:t>
            </w:r>
          </w:p>
          <w:p>
            <w:pPr>
              <w:pStyle w:val="0"/>
              <w:ind w:right="-33"/>
              <w:rPr>
                <w:rFonts w:hint="default"/>
              </w:rPr>
            </w:pPr>
            <w:r>
              <w:rPr>
                <w:rFonts w:hint="eastAsia"/>
              </w:rPr>
              <w:t>□床ずれ防止用具　□体位変換器　□認知症老人徘徊感知機器　□自動排泄処理装置</w:t>
            </w:r>
          </w:p>
        </w:tc>
      </w:tr>
      <w:tr>
        <w:trPr>
          <w:trHeight w:val="401" w:hRule="atLeast"/>
        </w:trPr>
        <w:tc>
          <w:tcPr>
            <w:tcW w:w="17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
                <w:kern w:val="0"/>
                <w:fitText w:val="1323" w:id="2"/>
              </w:rPr>
              <w:t>開始予定年月</w:t>
            </w:r>
            <w:r>
              <w:rPr>
                <w:rFonts w:hint="eastAsia"/>
                <w:spacing w:val="1"/>
                <w:kern w:val="0"/>
                <w:fitText w:val="1323" w:id="2"/>
              </w:rPr>
              <w:t>日</w:t>
            </w:r>
          </w:p>
        </w:tc>
        <w:tc>
          <w:tcPr>
            <w:tcW w:w="7796" w:type="dxa"/>
            <w:gridSpan w:val="16"/>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firstLine="568" w:firstLineChars="300"/>
              <w:rPr>
                <w:rFonts w:hint="default"/>
              </w:rPr>
            </w:pPr>
            <w:r>
              <w:rPr>
                <w:rFonts w:hint="eastAsia"/>
              </w:rPr>
              <w:t>　　　　年　　　月　　　日</w:t>
            </w:r>
          </w:p>
        </w:tc>
      </w:tr>
      <w:tr>
        <w:trPr>
          <w:trHeight w:val="454" w:hRule="atLeast"/>
        </w:trPr>
        <w:tc>
          <w:tcPr>
            <w:tcW w:w="172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確認した医師の所見の内容</w:t>
            </w:r>
          </w:p>
          <w:p>
            <w:pPr>
              <w:pStyle w:val="0"/>
              <w:ind w:left="189" w:leftChars="100" w:firstLine="0" w:firstLineChars="0"/>
              <w:rPr>
                <w:rFonts w:hint="default"/>
              </w:rPr>
            </w:pPr>
            <w:r>
              <w:rPr>
                <w:rFonts w:hint="eastAsia"/>
              </w:rPr>
              <w:t>（裏面参照）</w:t>
            </w:r>
          </w:p>
          <w:p>
            <w:pPr>
              <w:pStyle w:val="0"/>
              <w:ind w:left="189" w:leftChars="100" w:firstLine="0" w:firstLineChars="0"/>
              <w:rPr>
                <w:rFonts w:hint="default"/>
              </w:rPr>
            </w:pPr>
          </w:p>
          <w:p>
            <w:pPr>
              <w:pStyle w:val="24"/>
              <w:snapToGrid w:val="0"/>
              <w:spacing w:line="160" w:lineRule="atLeast"/>
              <w:ind w:left="0" w:leftChars="0" w:right="0" w:rightChars="0" w:hanging="169" w:hangingChars="100"/>
              <w:rPr>
                <w:rFonts w:hint="default"/>
              </w:rPr>
            </w:pPr>
            <w:r>
              <w:rPr>
                <w:rFonts w:hint="eastAsia"/>
                <w:sz w:val="16"/>
              </w:rPr>
              <w:t>※　担当介護支援　専門員が記載してください。医師による記載でも問題ありません。</w:t>
            </w:r>
          </w:p>
        </w:tc>
        <w:tc>
          <w:tcPr>
            <w:tcW w:w="7796" w:type="dxa"/>
            <w:gridSpan w:val="16"/>
            <w:tcBorders>
              <w:top w:val="nil"/>
              <w:left w:val="none" w:color="auto" w:sz="0" w:space="0"/>
              <w:bottom w:val="dashSmallGap" w:color="auto" w:sz="4" w:space="0"/>
              <w:right w:val="single" w:color="auto" w:sz="12" w:space="0"/>
              <w:tl2br w:val="none" w:color="auto" w:sz="0" w:space="0"/>
              <w:tr2bl w:val="none" w:color="auto" w:sz="0" w:space="0"/>
            </w:tcBorders>
            <w:vAlign w:val="center"/>
          </w:tcPr>
          <w:p>
            <w:pPr>
              <w:pStyle w:val="0"/>
              <w:ind w:left="568" w:hanging="568" w:hangingChars="300"/>
              <w:rPr>
                <w:rFonts w:hint="default"/>
              </w:rPr>
            </w:pPr>
            <w:r>
              <w:rPr>
                <w:rFonts w:hint="eastAsia"/>
              </w:rPr>
              <w:t>①原因となる疾患等</w:t>
            </w:r>
          </w:p>
          <w:p>
            <w:pPr>
              <w:pStyle w:val="0"/>
              <w:ind w:left="568" w:hanging="568" w:hangingChars="300"/>
              <w:rPr>
                <w:rFonts w:hint="default"/>
              </w:rPr>
            </w:pPr>
          </w:p>
          <w:p>
            <w:pPr>
              <w:pStyle w:val="0"/>
              <w:ind w:left="568" w:hanging="568" w:hangingChars="300"/>
              <w:rPr>
                <w:rFonts w:hint="default"/>
              </w:rPr>
            </w:pPr>
          </w:p>
        </w:tc>
      </w:tr>
      <w:tr>
        <w:trPr>
          <w:trHeight w:val="454"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796" w:type="dxa"/>
            <w:gridSpan w:val="16"/>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ind w:left="568" w:hanging="568" w:hangingChars="300"/>
              <w:rPr>
                <w:rFonts w:hint="default"/>
              </w:rPr>
            </w:pPr>
            <w:r>
              <w:rPr>
                <w:rFonts w:hint="eastAsia"/>
              </w:rPr>
              <w:t>②具体的状態</w:t>
            </w:r>
          </w:p>
          <w:p>
            <w:pPr>
              <w:pStyle w:val="0"/>
              <w:ind w:left="568" w:hanging="568" w:hangingChars="300"/>
              <w:rPr>
                <w:rFonts w:hint="default"/>
              </w:rPr>
            </w:pPr>
          </w:p>
          <w:p>
            <w:pPr>
              <w:pStyle w:val="0"/>
              <w:ind w:left="568" w:hanging="568" w:hangingChars="300"/>
              <w:rPr>
                <w:rFonts w:hint="default"/>
              </w:rPr>
            </w:pPr>
          </w:p>
        </w:tc>
      </w:tr>
      <w:tr>
        <w:trPr>
          <w:trHeight w:val="480"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796" w:type="dxa"/>
            <w:gridSpan w:val="16"/>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568" w:hanging="568" w:hangingChars="300"/>
              <w:rPr>
                <w:rFonts w:hint="default"/>
              </w:rPr>
            </w:pPr>
            <w:r>
              <w:rPr>
                <w:rFonts w:hint="eastAsia"/>
              </w:rPr>
              <w:t>③当てはまる状態像</w:t>
            </w:r>
          </w:p>
          <w:p>
            <w:pPr>
              <w:pStyle w:val="0"/>
              <w:ind w:left="567" w:leftChars="200" w:hanging="189" w:hangingChars="100"/>
              <w:rPr>
                <w:rFonts w:hint="default"/>
              </w:rPr>
            </w:pPr>
            <w:r>
              <w:rPr>
                <w:rFonts w:hint="eastAsia"/>
              </w:rPr>
              <w:t>□Ⅰ）状態の変化　　　□Ⅱ）急性増悪　　　　□Ⅲ）医師禁忌　　</w:t>
            </w:r>
          </w:p>
        </w:tc>
      </w:tr>
      <w:tr>
        <w:trPr>
          <w:trHeight w:val="454"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08" w:rightChars="-57"/>
              <w:jc w:val="center"/>
              <w:rPr>
                <w:rFonts w:hint="default"/>
              </w:rPr>
            </w:pPr>
            <w:r>
              <w:rPr>
                <w:rFonts w:hint="eastAsia"/>
              </w:rPr>
              <w:t>医　師　名</w:t>
            </w:r>
          </w:p>
        </w:tc>
        <w:tc>
          <w:tcPr>
            <w:tcW w:w="25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7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確認年月日</w:t>
            </w:r>
          </w:p>
        </w:tc>
        <w:tc>
          <w:tcPr>
            <w:tcW w:w="2693" w:type="dxa"/>
            <w:gridSpan w:val="10"/>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tc>
      </w:tr>
      <w:tr>
        <w:trPr>
          <w:trHeight w:val="454" w:hRule="atLeast"/>
        </w:trPr>
        <w:tc>
          <w:tcPr>
            <w:tcW w:w="172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76" w:type="dxa"/>
            <w:tcBorders>
              <w:top w:val="single" w:color="auto" w:sz="4" w:space="0"/>
              <w:left w:val="none" w:color="auto" w:sz="0" w:space="0"/>
              <w:bottom w:val="single" w:color="000000" w:sz="12" w:space="0"/>
              <w:right w:val="none" w:color="auto" w:sz="0" w:space="0"/>
              <w:tl2br w:val="none" w:color="auto" w:sz="0" w:space="0"/>
              <w:tr2bl w:val="none" w:color="auto" w:sz="0" w:space="0"/>
            </w:tcBorders>
            <w:vAlign w:val="center"/>
          </w:tcPr>
          <w:p>
            <w:pPr>
              <w:pStyle w:val="0"/>
              <w:ind w:right="-108" w:rightChars="-57"/>
              <w:jc w:val="center"/>
              <w:rPr>
                <w:rFonts w:hint="default"/>
              </w:rPr>
            </w:pPr>
            <w:r>
              <w:rPr>
                <w:rFonts w:hint="eastAsia"/>
              </w:rPr>
              <w:t>医療機関名</w:t>
            </w:r>
          </w:p>
        </w:tc>
        <w:tc>
          <w:tcPr>
            <w:tcW w:w="2551" w:type="dxa"/>
            <w:gridSpan w:val="3"/>
            <w:tcBorders>
              <w:top w:val="single" w:color="auto" w:sz="4" w:space="0"/>
              <w:left w:val="none" w:color="auto" w:sz="0"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1276" w:type="dxa"/>
            <w:gridSpan w:val="2"/>
            <w:tcBorders>
              <w:top w:val="single" w:color="auto" w:sz="4"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確認方法</w:t>
            </w:r>
          </w:p>
        </w:tc>
        <w:tc>
          <w:tcPr>
            <w:tcW w:w="2693" w:type="dxa"/>
            <w:gridSpan w:val="10"/>
            <w:tcBorders>
              <w:top w:val="single" w:color="auto" w:sz="4" w:space="0"/>
              <w:left w:val="none" w:color="auto" w:sz="0" w:space="0"/>
              <w:bottom w:val="single" w:color="000000" w:sz="12" w:space="0"/>
              <w:right w:val="single" w:color="auto" w:sz="12" w:space="0"/>
              <w:tl2br w:val="none" w:color="auto" w:sz="0" w:space="0"/>
              <w:tr2bl w:val="none" w:color="auto" w:sz="0" w:space="0"/>
            </w:tcBorders>
            <w:vAlign w:val="top"/>
          </w:tcPr>
          <w:p>
            <w:pPr>
              <w:pStyle w:val="0"/>
              <w:rPr>
                <w:rFonts w:hint="default"/>
              </w:rPr>
            </w:pPr>
            <w:r>
              <w:rPr>
                <w:rFonts w:hint="eastAsia"/>
              </w:rPr>
              <w:t>□診断書等（要添付）</w:t>
            </w:r>
          </w:p>
          <w:p>
            <w:pPr>
              <w:pStyle w:val="0"/>
              <w:rPr>
                <w:rFonts w:hint="default"/>
              </w:rPr>
            </w:pPr>
            <w:r>
              <w:rPr>
                <w:rFonts w:hint="eastAsia"/>
              </w:rPr>
              <w:t>□主治医意見書</w:t>
            </w:r>
          </w:p>
          <w:p>
            <w:pPr>
              <w:pStyle w:val="0"/>
              <w:rPr>
                <w:rFonts w:hint="default"/>
              </w:rPr>
            </w:pPr>
            <w:r>
              <w:rPr>
                <w:rFonts w:hint="eastAsia"/>
              </w:rPr>
              <w:t>□ケアマネによる聞取り</w:t>
            </w:r>
          </w:p>
          <w:p>
            <w:pPr>
              <w:pStyle w:val="0"/>
              <w:rPr>
                <w:rFonts w:hint="default"/>
              </w:rPr>
            </w:pPr>
            <w:r>
              <w:rPr>
                <w:rFonts w:hint="eastAsia"/>
              </w:rPr>
              <w:t>□その他（　　　　　　　　）</w:t>
            </w:r>
          </w:p>
        </w:tc>
      </w:tr>
    </w:tbl>
    <w:p>
      <w:pPr>
        <w:pStyle w:val="0"/>
        <w:rPr>
          <w:rFonts w:hint="default"/>
        </w:rPr>
      </w:pPr>
      <w:r>
        <w:rPr>
          <w:rFonts w:hint="eastAsia"/>
        </w:rPr>
        <w:t>備考　この申請書に、以下の書類を添付してください。</w:t>
      </w:r>
    </w:p>
    <w:p>
      <w:pPr>
        <w:pStyle w:val="0"/>
        <w:ind w:left="568" w:right="282" w:rightChars="149" w:hanging="568" w:hangingChars="300"/>
        <w:rPr>
          <w:rFonts w:hint="default"/>
        </w:rPr>
      </w:pPr>
      <w:r>
        <w:rPr>
          <w:rFonts w:hint="eastAsia"/>
        </w:rPr>
        <w:t>　　１　居宅サービス計画書</w:t>
      </w:r>
      <w:r>
        <w:rPr>
          <w:rFonts w:hint="eastAsia"/>
        </w:rPr>
        <w:t>(1)(2)</w:t>
      </w:r>
      <w:r>
        <w:rPr>
          <w:rFonts w:hint="eastAsia"/>
        </w:rPr>
        <w:t>又は介護予防サービス支援計画書　</w:t>
      </w:r>
    </w:p>
    <w:p>
      <w:pPr>
        <w:pStyle w:val="0"/>
        <w:ind w:left="567" w:leftChars="200" w:right="282" w:rightChars="149" w:hanging="189" w:hangingChars="100"/>
        <w:rPr>
          <w:rFonts w:hint="default"/>
        </w:rPr>
      </w:pPr>
      <w:r>
        <w:rPr>
          <w:rFonts w:hint="eastAsia"/>
        </w:rPr>
        <w:t>２　サービス担当者会議の記録（「サービス担当者会議の要点」（第４表）又は「サービス担当者に対する照会（依頼）内容」（第５表）等）</w:t>
      </w:r>
    </w:p>
    <w:p>
      <w:pPr>
        <w:pStyle w:val="0"/>
        <w:ind w:right="282" w:rightChars="149"/>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-481965</wp:posOffset>
                </wp:positionH>
                <wp:positionV relativeFrom="paragraph">
                  <wp:posOffset>70485</wp:posOffset>
                </wp:positionV>
                <wp:extent cx="6960870" cy="0"/>
                <wp:effectExtent l="0" t="635" r="27940" b="10795"/>
                <wp:wrapNone/>
                <wp:docPr id="1028" name="Line 4"/>
                <a:graphic xmlns:a="http://schemas.openxmlformats.org/drawingml/2006/main">
                  <a:graphicData uri="http://schemas.microsoft.com/office/word/2010/wordprocessingShape">
                    <wps:wsp>
                      <wps:cNvPr id="1028" name="Line 4"/>
                      <wps:cNvSpPr>
                        <a:spLocks noChangeShapeType="1"/>
                      </wps:cNvSpPr>
                      <wps:spPr>
                        <a:xfrm>
                          <a:off x="0" y="0"/>
                          <a:ext cx="6960870" cy="0"/>
                        </a:xfrm>
                        <a:prstGeom prst="line">
                          <a:avLst/>
                        </a:prstGeom>
                        <a:noFill/>
                        <a:ln w="19050">
                          <a:solidFill>
                            <a:srgbClr val="000000"/>
                          </a:solidFill>
                          <a:prstDash val="dashDot"/>
                          <a:round/>
                          <a:headEnd/>
                          <a:tailEnd/>
                        </a:ln>
                      </wps:spPr>
                      <wps:bodyPr/>
                    </wps:wsp>
                  </a:graphicData>
                </a:graphic>
              </wp:anchor>
            </w:drawing>
          </mc:Choice>
          <mc:Fallback>
            <w:pict>
              <v:line id="Line 4" style="mso-wrap-distance-top:0pt;mso-position-vertical-relative:text;z-index:2;mso-position-horizontal-relative:text;position:absolute;mso-wrap-distance-bottom:0pt;mso-wrap-distance-left:9pt;mso-wrap-distance-right:9pt;" o:spid="_x0000_s1028" o:allowincell="t" o:allowoverlap="t" filled="f" stroked="t" strokecolor="#000000" strokeweight="1.5pt" o:spt="20" from="-37.950000000000003pt,5.5500000000000007pt" to="510.15pt,5.5500000000000007pt">
                <v:fill/>
                <v:stroke dashstyle="dashdot" filltype="solid"/>
                <v:textbox style="layout-flow:horizontal;"/>
                <v:imagedata o:title=""/>
                <o:lock v:ext="edit" shapetype="t"/>
                <w10:wrap type="none" anchorx="text" anchory="text"/>
              </v:line>
            </w:pict>
          </mc:Fallback>
        </mc:AlternateContent>
      </w:r>
    </w:p>
    <w:p>
      <w:pPr>
        <w:pStyle w:val="0"/>
        <w:ind w:right="282" w:rightChars="149"/>
        <w:rPr>
          <w:rFonts w:hint="default"/>
        </w:rPr>
      </w:pPr>
      <w:r>
        <w:rPr>
          <w:rFonts w:hint="eastAsia"/>
        </w:rPr>
        <w:t>質問のありました（介護予防）福祉用具貸与費の算定の可否について、次のとおり確認しました。</w:t>
      </w:r>
    </w:p>
    <w:tbl>
      <w:tblPr>
        <w:tblStyle w:val="11"/>
        <w:tblW w:w="94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5973"/>
        <w:gridCol w:w="1781"/>
      </w:tblGrid>
      <w:tr>
        <w:trPr>
          <w:trHeight w:val="495" w:hRule="atLeast"/>
        </w:trPr>
        <w:tc>
          <w:tcPr>
            <w:tcW w:w="1701"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算定の可否</w:t>
            </w:r>
          </w:p>
        </w:tc>
        <w:tc>
          <w:tcPr>
            <w:tcW w:w="597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768"/>
              <w:rPr>
                <w:rFonts w:hint="default"/>
              </w:rPr>
            </w:pPr>
            <w:r>
              <w:rPr>
                <w:rFonts w:hint="eastAsia"/>
              </w:rPr>
              <w:t>　　算定可　　・　　算定不可</w:t>
            </w:r>
          </w:p>
        </w:tc>
        <w:tc>
          <w:tcPr>
            <w:tcW w:w="178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86"/>
              <w:jc w:val="center"/>
              <w:rPr>
                <w:rFonts w:hint="default"/>
              </w:rPr>
            </w:pPr>
            <w:r>
              <w:rPr>
                <w:rFonts w:hint="eastAsia"/>
              </w:rPr>
              <w:t>確　認　印</w:t>
            </w:r>
          </w:p>
        </w:tc>
      </w:tr>
      <w:tr>
        <w:trPr>
          <w:trHeight w:val="1766" w:hRule="atLeast"/>
        </w:trPr>
        <w:tc>
          <w:tcPr>
            <w:tcW w:w="1701"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算定可否</w:t>
            </w:r>
            <w:r>
              <w:rPr>
                <w:rFonts w:hint="default"/>
              </w:rPr>
              <w:t>の理由</w:t>
            </w:r>
          </w:p>
        </w:tc>
        <w:tc>
          <w:tcPr>
            <w:tcW w:w="597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768"/>
              <w:rPr>
                <w:rFonts w:hint="default"/>
              </w:rPr>
            </w:pPr>
          </w:p>
        </w:tc>
        <w:tc>
          <w:tcPr>
            <w:tcW w:w="178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86"/>
              <w:jc w:val="center"/>
              <w:rPr>
                <w:rFonts w:hint="default"/>
                <w:color w:val="FF0000"/>
              </w:rPr>
            </w:pPr>
          </w:p>
        </w:tc>
      </w:tr>
      <w:tr>
        <w:trPr>
          <w:trHeight w:val="531" w:hRule="atLeast"/>
        </w:trPr>
        <w:tc>
          <w:tcPr>
            <w:tcW w:w="1701"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認定有効期間</w:t>
            </w:r>
          </w:p>
        </w:tc>
        <w:tc>
          <w:tcPr>
            <w:tcW w:w="775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86"/>
              <w:rPr>
                <w:rFonts w:hint="default"/>
                <w:color w:val="FF0000"/>
              </w:rPr>
            </w:pPr>
          </w:p>
        </w:tc>
      </w:tr>
    </w:tbl>
    <w:p>
      <w:pPr>
        <w:pStyle w:val="20"/>
        <w:numPr>
          <w:ilvl w:val="0"/>
          <w:numId w:val="1"/>
        </w:numPr>
        <w:ind w:leftChars="0" w:right="282" w:rightChars="149"/>
        <w:rPr>
          <w:rFonts w:hint="default"/>
        </w:rPr>
      </w:pPr>
      <w:r>
        <w:rPr>
          <w:rFonts w:hint="eastAsia"/>
        </w:rPr>
        <w:t>継続して貸与を受ける場合、確認の有効期間が切れる前に再度質問票を提出する必要があります。</w:t>
      </w:r>
    </w:p>
    <w:p>
      <w:pPr>
        <w:pStyle w:val="20"/>
        <w:numPr>
          <w:numId w:val="0"/>
        </w:numPr>
        <w:ind w:left="360" w:leftChars="0" w:right="282" w:rightChars="149" w:firstLine="0" w:firstLineChars="0"/>
        <w:rPr>
          <w:rFonts w:hint="default"/>
        </w:rPr>
      </w:pPr>
    </w:p>
    <w:p>
      <w:pPr>
        <w:pStyle w:val="20"/>
        <w:numPr>
          <w:numId w:val="0"/>
        </w:numPr>
        <w:ind w:left="360" w:leftChars="0" w:right="282" w:rightChars="149" w:firstLine="0" w:firstLineChars="0"/>
        <w:rPr>
          <w:rFonts w:hint="default"/>
        </w:rPr>
      </w:pPr>
    </w:p>
    <w:p>
      <w:pPr>
        <w:pStyle w:val="20"/>
        <w:numPr>
          <w:numId w:val="0"/>
        </w:numPr>
        <w:ind w:left="360" w:leftChars="0" w:right="282" w:rightChars="149" w:firstLine="0" w:firstLineChars="0"/>
        <w:rPr>
          <w:rFonts w:hint="default"/>
        </w:rPr>
      </w:pPr>
    </w:p>
    <w:p>
      <w:pPr>
        <w:pStyle w:val="20"/>
        <w:numPr>
          <w:numId w:val="0"/>
        </w:numPr>
        <w:ind w:left="360" w:leftChars="0" w:right="282" w:rightChars="149" w:firstLine="0" w:firstLineChars="0"/>
        <w:rPr>
          <w:rFonts w:hint="default"/>
        </w:rPr>
      </w:pPr>
    </w:p>
    <w:p>
      <w:pPr>
        <w:pStyle w:val="0"/>
        <w:numPr>
          <w:numId w:val="0"/>
        </w:numPr>
        <w:ind w:left="0" w:leftChars="0" w:right="282" w:rightChars="149" w:firstLineChars="0"/>
        <w:rPr>
          <w:rFonts w:hint="default"/>
        </w:rPr>
      </w:pPr>
      <w:r>
        <w:rPr>
          <w:rFonts w:hint="eastAsia"/>
          <w:sz w:val="24"/>
        </w:rPr>
        <w:t>【医師の所見について】</w:t>
      </w:r>
    </w:p>
    <w:p>
      <w:pPr>
        <w:pStyle w:val="0"/>
        <w:ind w:right="282" w:rightChars="149"/>
        <w:rPr>
          <w:rFonts w:hint="default"/>
        </w:rPr>
      </w:pPr>
      <w:r>
        <w:rPr>
          <w:rFonts w:hint="eastAsia"/>
        </w:rPr>
        <w:t>　ここでいう医師の所見とは、下記Ⅰ）からⅢ）のどの状態像に該当するかを判断するための根拠となる医学的な判断や見解のことです。</w:t>
      </w:r>
    </w:p>
    <w:p>
      <w:pPr>
        <w:pStyle w:val="0"/>
        <w:ind w:right="282" w:rightChars="149" w:firstLine="189" w:firstLineChars="100"/>
        <w:rPr>
          <w:rFonts w:hint="default"/>
        </w:rPr>
      </w:pPr>
      <w:r>
        <w:rPr>
          <w:rFonts w:hint="eastAsia"/>
        </w:rPr>
        <w:t>介護保険に関して、算定の責任は医師にはありませんので、「特殊寝台が必要」とだけ意見を医師からもらっても算定の理由にはなりません。状態像の根拠について、なぜその状態になっているのかという医学的な所見を確認してください。</w:t>
      </w:r>
    </w:p>
    <w:tbl>
      <w:tblPr>
        <w:tblStyle w:val="25"/>
        <w:tblW w:w="9686" w:type="dxa"/>
        <w:jc w:val="left"/>
        <w:tblInd w:w="-13" w:type="dxa"/>
        <w:tblLayout w:type="fixed"/>
        <w:tblLook w:firstRow="1" w:lastRow="0" w:firstColumn="1" w:lastColumn="0" w:noHBand="0" w:noVBand="1" w:val="04A0"/>
      </w:tblPr>
      <w:tblGrid>
        <w:gridCol w:w="1748"/>
        <w:gridCol w:w="2646"/>
        <w:gridCol w:w="5292"/>
      </w:tblGrid>
      <w:tr>
        <w:trPr/>
        <w:tc>
          <w:tcPr>
            <w:tcW w:w="1748" w:type="dxa"/>
            <w:vAlign w:val="top"/>
          </w:tcPr>
          <w:p>
            <w:pPr>
              <w:pStyle w:val="0"/>
              <w:ind w:right="282" w:rightChars="149"/>
              <w:jc w:val="center"/>
              <w:rPr>
                <w:rFonts w:hint="default"/>
              </w:rPr>
            </w:pPr>
            <w:r>
              <w:rPr>
                <w:rFonts w:hint="eastAsia"/>
              </w:rPr>
              <w:t>類型</w:t>
            </w:r>
          </w:p>
        </w:tc>
        <w:tc>
          <w:tcPr>
            <w:tcW w:w="2646" w:type="dxa"/>
            <w:vAlign w:val="top"/>
          </w:tcPr>
          <w:p>
            <w:pPr>
              <w:pStyle w:val="0"/>
              <w:ind w:right="282" w:rightChars="149"/>
              <w:jc w:val="center"/>
              <w:rPr>
                <w:rFonts w:hint="default"/>
              </w:rPr>
            </w:pPr>
            <w:r>
              <w:rPr>
                <w:rFonts w:hint="eastAsia"/>
              </w:rPr>
              <w:t>状態像</w:t>
            </w:r>
          </w:p>
        </w:tc>
        <w:tc>
          <w:tcPr>
            <w:tcW w:w="5292" w:type="dxa"/>
            <w:vAlign w:val="top"/>
          </w:tcPr>
          <w:p>
            <w:pPr>
              <w:pStyle w:val="0"/>
              <w:jc w:val="center"/>
              <w:rPr>
                <w:rFonts w:hint="eastAsia"/>
              </w:rPr>
            </w:pPr>
            <w:r>
              <w:rPr>
                <w:rFonts w:hint="eastAsia"/>
              </w:rPr>
              <w:t>主な事例内容（概要）</w:t>
            </w:r>
          </w:p>
        </w:tc>
      </w:tr>
      <w:tr>
        <w:trPr>
          <w:trHeight w:val="794" w:hRule="atLeast"/>
        </w:trPr>
        <w:tc>
          <w:tcPr>
            <w:tcW w:w="1748" w:type="dxa"/>
            <w:vMerge w:val="restart"/>
            <w:vAlign w:val="top"/>
          </w:tcPr>
          <w:p>
            <w:pPr>
              <w:pStyle w:val="0"/>
              <w:ind w:right="282" w:rightChars="149"/>
              <w:rPr>
                <w:rFonts w:hint="default"/>
              </w:rPr>
            </w:pPr>
            <w:r>
              <w:rPr>
                <w:rFonts w:hint="eastAsia"/>
              </w:rPr>
              <w:t>Ⅰ）状態の変化</w:t>
            </w:r>
          </w:p>
        </w:tc>
        <w:tc>
          <w:tcPr>
            <w:tcW w:w="2646" w:type="dxa"/>
            <w:vMerge w:val="restart"/>
            <w:vAlign w:val="top"/>
          </w:tcPr>
          <w:p>
            <w:pPr>
              <w:pStyle w:val="0"/>
              <w:ind w:rightChars="0"/>
              <w:rPr>
                <w:rFonts w:hint="default"/>
              </w:rPr>
            </w:pPr>
            <w:r>
              <w:rPr>
                <w:rFonts w:hint="eastAsia"/>
              </w:rPr>
              <w:t>疾病その他の原因により、状態が変動しやすく、日によって又は時間帯によって、頻繁に国の定める状態に該当する者。</w:t>
            </w:r>
          </w:p>
        </w:tc>
        <w:tc>
          <w:tcPr>
            <w:tcW w:w="5292" w:type="dxa"/>
            <w:vAlign w:val="top"/>
          </w:tcPr>
          <w:p>
            <w:pPr>
              <w:pStyle w:val="0"/>
              <w:rPr>
                <w:rFonts w:hint="eastAsia"/>
              </w:rPr>
            </w:pPr>
            <w:r>
              <w:rPr>
                <w:rFonts w:hint="eastAsia"/>
              </w:rPr>
              <w:t>パーキンソン病で、内服加療中に急激な症状・症候の軽快・憎悪を起こす現象（</w:t>
            </w:r>
            <w:r>
              <w:rPr>
                <w:rFonts w:hint="eastAsia"/>
              </w:rPr>
              <w:t>ON</w:t>
            </w:r>
            <w:r>
              <w:rPr>
                <w:rFonts w:hint="eastAsia"/>
              </w:rPr>
              <w:t>・</w:t>
            </w:r>
            <w:r>
              <w:rPr>
                <w:rFonts w:hint="eastAsia"/>
              </w:rPr>
              <w:t>OFF</w:t>
            </w:r>
            <w:r>
              <w:rPr>
                <w:rFonts w:hint="eastAsia"/>
              </w:rPr>
              <w:t>現象）が頻繁に起き、日によって国の定める状態となる。</w:t>
            </w:r>
          </w:p>
        </w:tc>
      </w:tr>
      <w:tr>
        <w:trPr/>
        <w:tc>
          <w:tcPr>
            <w:tcW w:w="1748" w:type="dxa"/>
            <w:vMerge w:val="continue"/>
            <w:vAlign w:val="top"/>
          </w:tcPr>
          <w:p>
            <w:pPr>
              <w:pStyle w:val="0"/>
              <w:rPr>
                <w:rFonts w:hint="eastAsia"/>
              </w:rPr>
            </w:pPr>
          </w:p>
        </w:tc>
        <w:tc>
          <w:tcPr>
            <w:tcW w:w="2646" w:type="dxa"/>
            <w:vMerge w:val="continue"/>
            <w:vAlign w:val="top"/>
          </w:tcPr>
          <w:p>
            <w:pPr>
              <w:pStyle w:val="0"/>
              <w:rPr>
                <w:rFonts w:hint="eastAsia"/>
              </w:rPr>
            </w:pPr>
          </w:p>
        </w:tc>
        <w:tc>
          <w:tcPr>
            <w:tcW w:w="5292" w:type="dxa"/>
            <w:vAlign w:val="top"/>
          </w:tcPr>
          <w:p>
            <w:pPr>
              <w:pStyle w:val="0"/>
              <w:rPr>
                <w:rFonts w:hint="eastAsia"/>
              </w:rPr>
            </w:pPr>
            <w:r>
              <w:rPr>
                <w:rFonts w:hint="eastAsia"/>
              </w:rPr>
              <w:t>重度の関節リウマチで、関節のこわばりが朝方に強くなり、時間帯によって国の定める状態となる。</w:t>
            </w:r>
          </w:p>
        </w:tc>
      </w:tr>
      <w:tr>
        <w:trPr/>
        <w:tc>
          <w:tcPr>
            <w:tcW w:w="1748" w:type="dxa"/>
            <w:vAlign w:val="top"/>
          </w:tcPr>
          <w:p>
            <w:pPr>
              <w:pStyle w:val="0"/>
              <w:ind w:right="282" w:rightChars="149"/>
              <w:rPr>
                <w:rFonts w:hint="default"/>
              </w:rPr>
            </w:pPr>
            <w:r>
              <w:rPr>
                <w:rFonts w:hint="eastAsia"/>
              </w:rPr>
              <w:t>Ⅱ）急性増悪</w:t>
            </w:r>
          </w:p>
        </w:tc>
        <w:tc>
          <w:tcPr>
            <w:tcW w:w="2646" w:type="dxa"/>
            <w:vAlign w:val="top"/>
          </w:tcPr>
          <w:p>
            <w:pPr>
              <w:pStyle w:val="0"/>
              <w:rPr>
                <w:rFonts w:hint="default"/>
              </w:rPr>
            </w:pPr>
            <w:r>
              <w:rPr>
                <w:rFonts w:hint="eastAsia"/>
              </w:rPr>
              <w:t>疾病その他の原因により、状態が急速に悪化し、短期間のうちに国の定める状態に該当することが確実に見込まれる者。</w:t>
            </w:r>
          </w:p>
        </w:tc>
        <w:tc>
          <w:tcPr>
            <w:tcW w:w="5292" w:type="dxa"/>
            <w:vAlign w:val="top"/>
          </w:tcPr>
          <w:p>
            <w:pPr>
              <w:pStyle w:val="0"/>
              <w:rPr>
                <w:rFonts w:hint="eastAsia"/>
              </w:rPr>
            </w:pPr>
            <w:r>
              <w:rPr>
                <w:rFonts w:hint="eastAsia"/>
              </w:rPr>
              <w:t>末期がんで、認定調査時には何とか自立していても、急激に状態が悪化し、短期間で国の定める状態となる。</w:t>
            </w:r>
          </w:p>
        </w:tc>
      </w:tr>
      <w:tr>
        <w:trPr>
          <w:trHeight w:val="764" w:hRule="atLeast"/>
        </w:trPr>
        <w:tc>
          <w:tcPr>
            <w:tcW w:w="1748" w:type="dxa"/>
            <w:vMerge w:val="restart"/>
            <w:vAlign w:val="top"/>
          </w:tcPr>
          <w:p>
            <w:pPr>
              <w:pStyle w:val="0"/>
              <w:rPr>
                <w:rFonts w:hint="default"/>
              </w:rPr>
            </w:pPr>
            <w:r>
              <w:rPr>
                <w:rFonts w:hint="eastAsia"/>
              </w:rPr>
              <w:t>Ⅲ）医師禁忌</w:t>
            </w:r>
          </w:p>
        </w:tc>
        <w:tc>
          <w:tcPr>
            <w:tcW w:w="2646" w:type="dxa"/>
            <w:vMerge w:val="restart"/>
            <w:vAlign w:val="top"/>
          </w:tcPr>
          <w:p>
            <w:pPr>
              <w:pStyle w:val="0"/>
              <w:ind w:rightChars="0"/>
              <w:rPr>
                <w:rFonts w:hint="default"/>
              </w:rPr>
            </w:pPr>
            <w:r>
              <w:rPr>
                <w:rFonts w:hint="eastAsia"/>
              </w:rPr>
              <w:t>疾病その他の原因により、身体への重大な危険性又は症状の重篤化の回避等医学的判断から国の定める状態に該当すると判断できる者。</w:t>
            </w:r>
          </w:p>
        </w:tc>
        <w:tc>
          <w:tcPr>
            <w:tcW w:w="5292" w:type="dxa"/>
            <w:vAlign w:val="top"/>
          </w:tcPr>
          <w:p>
            <w:pPr>
              <w:pStyle w:val="0"/>
              <w:rPr>
                <w:rFonts w:hint="eastAsia"/>
              </w:rPr>
            </w:pPr>
            <w:r>
              <w:rPr>
                <w:rFonts w:hint="eastAsia"/>
              </w:rPr>
              <w:t>重度の喘息発作で、特殊寝台の利用により、一定の角度に上体を起こすことで、呼吸不全の危険性を回避する必要があるため、特殊寝台の必要性を医師から指示されている。</w:t>
            </w:r>
          </w:p>
        </w:tc>
      </w:tr>
      <w:tr>
        <w:trPr/>
        <w:tc>
          <w:tcPr>
            <w:tcW w:w="1748" w:type="dxa"/>
            <w:vMerge w:val="continue"/>
            <w:vAlign w:val="top"/>
          </w:tcPr>
          <w:p>
            <w:pPr>
              <w:pStyle w:val="0"/>
              <w:rPr>
                <w:rFonts w:hint="default"/>
              </w:rPr>
            </w:pPr>
          </w:p>
        </w:tc>
        <w:tc>
          <w:tcPr>
            <w:tcW w:w="2646" w:type="dxa"/>
            <w:vMerge w:val="continue"/>
            <w:vAlign w:val="top"/>
          </w:tcPr>
          <w:p>
            <w:pPr>
              <w:pStyle w:val="0"/>
              <w:rPr>
                <w:rFonts w:hint="default"/>
              </w:rPr>
            </w:pPr>
          </w:p>
        </w:tc>
        <w:tc>
          <w:tcPr>
            <w:tcW w:w="5292" w:type="dxa"/>
            <w:vAlign w:val="top"/>
          </w:tcPr>
          <w:p>
            <w:pPr>
              <w:pStyle w:val="0"/>
              <w:rPr>
                <w:rFonts w:hint="eastAsia"/>
              </w:rPr>
            </w:pPr>
            <w:r>
              <w:rPr>
                <w:rFonts w:hint="eastAsia"/>
              </w:rPr>
              <w:t>重度の心疾患で、急激な動きをとらないようにし、心不全発作の危険性を回避する必要があるため、特殊寝台の必要性を医師から指示されている。</w:t>
            </w:r>
          </w:p>
        </w:tc>
      </w:tr>
      <w:tr>
        <w:trPr/>
        <w:tc>
          <w:tcPr>
            <w:tcW w:w="1748" w:type="dxa"/>
            <w:vMerge w:val="continue"/>
            <w:vAlign w:val="top"/>
          </w:tcPr>
          <w:p>
            <w:pPr>
              <w:pStyle w:val="0"/>
              <w:rPr>
                <w:rFonts w:hint="default"/>
              </w:rPr>
            </w:pPr>
          </w:p>
        </w:tc>
        <w:tc>
          <w:tcPr>
            <w:tcW w:w="2646" w:type="dxa"/>
            <w:vMerge w:val="continue"/>
            <w:vAlign w:val="top"/>
          </w:tcPr>
          <w:p>
            <w:pPr>
              <w:pStyle w:val="0"/>
              <w:rPr>
                <w:rFonts w:hint="default"/>
              </w:rPr>
            </w:pPr>
          </w:p>
        </w:tc>
        <w:tc>
          <w:tcPr>
            <w:tcW w:w="5292" w:type="dxa"/>
            <w:vAlign w:val="top"/>
          </w:tcPr>
          <w:p>
            <w:pPr>
              <w:pStyle w:val="0"/>
              <w:rPr>
                <w:rFonts w:hint="eastAsia"/>
              </w:rPr>
            </w:pPr>
            <w:r>
              <w:rPr>
                <w:rFonts w:hint="eastAsia"/>
              </w:rPr>
              <w:t>重度の逆流性食道炎（嚥下障害）で、一定の角度に上体を起こすことで、誤嚥性肺炎の危険性を回避する必要があるため、特殊寝台の必要性を医師から指示されている。</w:t>
            </w:r>
          </w:p>
        </w:tc>
      </w:tr>
      <w:tr>
        <w:trPr>
          <w:trHeight w:val="188" w:hRule="atLeast"/>
        </w:trPr>
        <w:tc>
          <w:tcPr>
            <w:tcW w:w="1748" w:type="dxa"/>
            <w:vMerge w:val="continue"/>
            <w:vAlign w:val="top"/>
          </w:tcPr>
          <w:p>
            <w:pPr>
              <w:pStyle w:val="0"/>
              <w:rPr>
                <w:rFonts w:hint="default"/>
              </w:rPr>
            </w:pPr>
          </w:p>
        </w:tc>
        <w:tc>
          <w:tcPr>
            <w:tcW w:w="2646" w:type="dxa"/>
            <w:vMerge w:val="continue"/>
            <w:vAlign w:val="top"/>
          </w:tcPr>
          <w:p>
            <w:pPr>
              <w:pStyle w:val="0"/>
              <w:rPr>
                <w:rFonts w:hint="default"/>
              </w:rPr>
            </w:pPr>
          </w:p>
        </w:tc>
        <w:tc>
          <w:tcPr>
            <w:tcW w:w="5292" w:type="dxa"/>
            <w:vAlign w:val="top"/>
          </w:tcPr>
          <w:p>
            <w:pPr>
              <w:pStyle w:val="0"/>
              <w:rPr>
                <w:rFonts w:hint="eastAsia"/>
              </w:rPr>
            </w:pPr>
            <w:r>
              <w:rPr>
                <w:rFonts w:hint="eastAsia"/>
              </w:rPr>
              <w:t>人工股関節の術後で、移動用リフトにより、立ち座りの際の脱臼の危険性を回避する必要があるため、移動用リフトの必要性を医師から指示されている。</w:t>
            </w:r>
          </w:p>
        </w:tc>
      </w:tr>
    </w:tbl>
    <w:p>
      <w:pPr>
        <w:pStyle w:val="0"/>
        <w:ind w:left="378" w:right="282" w:rightChars="149" w:hanging="378" w:hangingChars="200"/>
        <w:rPr>
          <w:rFonts w:hint="default"/>
        </w:rPr>
      </w:pPr>
      <w:r>
        <w:rPr>
          <w:rFonts w:hint="eastAsia"/>
        </w:rPr>
        <w:t>　　※　上記の事例は、あくまでもⅠ）～Ⅲ）の状態像に該当する可能性のあるものを例示したにすぎません。</w:t>
      </w:r>
    </w:p>
    <w:p>
      <w:pPr>
        <w:pStyle w:val="0"/>
        <w:ind w:left="378" w:leftChars="200" w:right="282" w:rightChars="149" w:firstLine="189" w:firstLineChars="100"/>
        <w:rPr>
          <w:rFonts w:hint="default"/>
        </w:rPr>
      </w:pPr>
      <w:bookmarkStart w:id="0" w:name="_GoBack"/>
      <w:bookmarkEnd w:id="0"/>
      <w:r>
        <w:rPr>
          <w:rFonts w:hint="eastAsia"/>
        </w:rPr>
        <w:t>また、上記の事例以外の者であっても、Ⅰ）～Ⅲ）の状態像であると判断される場合もありえます。</w:t>
      </w:r>
    </w:p>
    <w:p>
      <w:pPr>
        <w:pStyle w:val="0"/>
        <w:ind w:left="378" w:right="282" w:rightChars="149" w:hanging="378" w:hangingChars="200"/>
        <w:rPr>
          <w:rFonts w:hint="default"/>
        </w:rPr>
      </w:pPr>
    </w:p>
    <w:p>
      <w:pPr>
        <w:pStyle w:val="0"/>
        <w:ind w:left="378" w:right="282" w:rightChars="149" w:hanging="378" w:hangingChars="200"/>
        <w:rPr>
          <w:rFonts w:hint="default"/>
        </w:rPr>
      </w:pPr>
      <w:r>
        <w:rPr>
          <w:rFonts w:hint="eastAsia"/>
        </w:rPr>
        <w:t>国の定める状態</w:t>
      </w:r>
    </w:p>
    <w:tbl>
      <w:tblPr>
        <w:tblStyle w:val="25"/>
        <w:tblW w:w="9686" w:type="dxa"/>
        <w:jc w:val="left"/>
        <w:tblInd w:w="-13" w:type="dxa"/>
        <w:tblLayout w:type="fixed"/>
        <w:tblLook w:firstRow="1" w:lastRow="0" w:firstColumn="1" w:lastColumn="0" w:noHBand="0" w:noVBand="1" w:val="04A0"/>
      </w:tblPr>
      <w:tblGrid>
        <w:gridCol w:w="2693"/>
        <w:gridCol w:w="6993"/>
      </w:tblGrid>
      <w:tr>
        <w:trPr>
          <w:trHeight w:val="178" w:hRule="atLeast"/>
        </w:trPr>
        <w:tc>
          <w:tcPr>
            <w:tcW w:w="2693" w:type="dxa"/>
            <w:vAlign w:val="top"/>
          </w:tcPr>
          <w:p>
            <w:pPr>
              <w:pStyle w:val="0"/>
              <w:ind w:right="282" w:rightChars="149"/>
              <w:jc w:val="center"/>
              <w:rPr>
                <w:rFonts w:hint="default"/>
              </w:rPr>
            </w:pPr>
            <w:r>
              <w:rPr>
                <w:rFonts w:hint="eastAsia"/>
              </w:rPr>
              <w:t>福祉用具の種目</w:t>
            </w:r>
          </w:p>
        </w:tc>
        <w:tc>
          <w:tcPr>
            <w:tcW w:w="6993" w:type="dxa"/>
            <w:vAlign w:val="top"/>
          </w:tcPr>
          <w:p>
            <w:pPr>
              <w:pStyle w:val="0"/>
              <w:ind w:right="282" w:rightChars="149"/>
              <w:jc w:val="center"/>
              <w:rPr>
                <w:rFonts w:hint="default"/>
              </w:rPr>
            </w:pPr>
            <w:r>
              <w:rPr>
                <w:rFonts w:hint="eastAsia"/>
              </w:rPr>
              <w:t>国の定める状態</w:t>
            </w:r>
          </w:p>
        </w:tc>
      </w:tr>
      <w:tr>
        <w:trPr/>
        <w:tc>
          <w:tcPr>
            <w:tcW w:w="2693" w:type="dxa"/>
            <w:vAlign w:val="top"/>
          </w:tcPr>
          <w:p>
            <w:pPr>
              <w:pStyle w:val="0"/>
              <w:ind w:right="282" w:rightChars="149"/>
              <w:rPr>
                <w:rFonts w:hint="default"/>
              </w:rPr>
            </w:pPr>
            <w:r>
              <w:rPr>
                <w:rFonts w:hint="eastAsia"/>
              </w:rPr>
              <w:t>車いす</w:t>
            </w:r>
          </w:p>
          <w:p>
            <w:pPr>
              <w:pStyle w:val="0"/>
              <w:ind w:right="282" w:rightChars="149"/>
              <w:rPr>
                <w:rFonts w:hint="default"/>
              </w:rPr>
            </w:pPr>
            <w:r>
              <w:rPr>
                <w:rFonts w:hint="eastAsia"/>
              </w:rPr>
              <w:t>車いす付属品</w:t>
            </w:r>
          </w:p>
        </w:tc>
        <w:tc>
          <w:tcPr>
            <w:tcW w:w="6993" w:type="dxa"/>
            <w:vAlign w:val="top"/>
          </w:tcPr>
          <w:p>
            <w:pPr>
              <w:pStyle w:val="0"/>
              <w:ind w:right="282" w:rightChars="149"/>
              <w:rPr>
                <w:rFonts w:hint="default"/>
              </w:rPr>
            </w:pPr>
            <w:r>
              <w:rPr>
                <w:rFonts w:hint="eastAsia"/>
              </w:rPr>
              <w:t>次のいずれかに該当する者</w:t>
            </w:r>
          </w:p>
          <w:p>
            <w:pPr>
              <w:pStyle w:val="0"/>
              <w:ind w:right="282" w:rightChars="149"/>
              <w:rPr>
                <w:rFonts w:hint="default"/>
              </w:rPr>
            </w:pPr>
            <w:r>
              <w:rPr>
                <w:rFonts w:hint="eastAsia"/>
              </w:rPr>
              <w:t>（一）　日常的に歩行が困難な者</w:t>
            </w:r>
          </w:p>
          <w:p>
            <w:pPr>
              <w:pStyle w:val="0"/>
              <w:ind w:left="568" w:right="282" w:rightChars="149" w:hanging="568" w:hangingChars="300"/>
              <w:rPr>
                <w:rFonts w:hint="default"/>
              </w:rPr>
            </w:pPr>
            <w:r>
              <w:rPr>
                <w:rFonts w:hint="eastAsia"/>
              </w:rPr>
              <w:t>（二）　日常生活範囲における移動の支援が特に必要と認められる者</w:t>
            </w:r>
          </w:p>
        </w:tc>
      </w:tr>
      <w:tr>
        <w:trPr/>
        <w:tc>
          <w:tcPr>
            <w:tcW w:w="2693" w:type="dxa"/>
            <w:vAlign w:val="top"/>
          </w:tcPr>
          <w:p>
            <w:pPr>
              <w:pStyle w:val="0"/>
              <w:ind w:right="282" w:rightChars="149"/>
              <w:rPr>
                <w:rFonts w:hint="default"/>
              </w:rPr>
            </w:pPr>
            <w:r>
              <w:rPr>
                <w:rFonts w:hint="eastAsia"/>
              </w:rPr>
              <w:t>特殊寝台</w:t>
            </w:r>
          </w:p>
          <w:p>
            <w:pPr>
              <w:pStyle w:val="0"/>
              <w:ind w:right="282" w:rightChars="149"/>
              <w:rPr>
                <w:rFonts w:hint="default"/>
              </w:rPr>
            </w:pPr>
            <w:r>
              <w:rPr>
                <w:rFonts w:hint="eastAsia"/>
              </w:rPr>
              <w:t>特殊寝台付属品</w:t>
            </w:r>
          </w:p>
        </w:tc>
        <w:tc>
          <w:tcPr>
            <w:tcW w:w="6993" w:type="dxa"/>
            <w:vAlign w:val="top"/>
          </w:tcPr>
          <w:p>
            <w:pPr>
              <w:pStyle w:val="0"/>
              <w:ind w:right="282" w:rightChars="149"/>
              <w:rPr>
                <w:rFonts w:hint="default"/>
              </w:rPr>
            </w:pPr>
            <w:r>
              <w:rPr>
                <w:rFonts w:hint="eastAsia"/>
              </w:rPr>
              <w:t>次のいずれかに該当する者</w:t>
            </w:r>
          </w:p>
          <w:p>
            <w:pPr>
              <w:pStyle w:val="0"/>
              <w:ind w:right="282" w:rightChars="149"/>
              <w:rPr>
                <w:rFonts w:hint="default"/>
              </w:rPr>
            </w:pPr>
            <w:r>
              <w:rPr>
                <w:rFonts w:hint="eastAsia"/>
              </w:rPr>
              <w:t>（一）　日常的に起き上がりが困難な者</w:t>
            </w:r>
          </w:p>
          <w:p>
            <w:pPr>
              <w:pStyle w:val="0"/>
              <w:ind w:right="282" w:rightChars="149"/>
              <w:rPr>
                <w:rFonts w:hint="default"/>
              </w:rPr>
            </w:pPr>
            <w:r>
              <w:rPr>
                <w:rFonts w:hint="eastAsia"/>
              </w:rPr>
              <w:t>（二）　日常的に寝返りが困難な者</w:t>
            </w:r>
          </w:p>
        </w:tc>
      </w:tr>
      <w:tr>
        <w:trPr/>
        <w:tc>
          <w:tcPr>
            <w:tcW w:w="2693" w:type="dxa"/>
            <w:vAlign w:val="top"/>
          </w:tcPr>
          <w:p>
            <w:pPr>
              <w:pStyle w:val="0"/>
              <w:ind w:right="282" w:rightChars="149"/>
              <w:rPr>
                <w:rFonts w:hint="default"/>
              </w:rPr>
            </w:pPr>
            <w:r>
              <w:rPr>
                <w:rFonts w:hint="eastAsia"/>
              </w:rPr>
              <w:t>床ずれ防止用具</w:t>
            </w:r>
          </w:p>
          <w:p>
            <w:pPr>
              <w:pStyle w:val="0"/>
              <w:ind w:right="282" w:rightChars="149"/>
              <w:rPr>
                <w:rFonts w:hint="default"/>
              </w:rPr>
            </w:pPr>
            <w:r>
              <w:rPr>
                <w:rFonts w:hint="eastAsia"/>
              </w:rPr>
              <w:t>体位変換器</w:t>
            </w:r>
          </w:p>
        </w:tc>
        <w:tc>
          <w:tcPr>
            <w:tcW w:w="6993" w:type="dxa"/>
            <w:vAlign w:val="top"/>
          </w:tcPr>
          <w:p>
            <w:pPr>
              <w:pStyle w:val="0"/>
              <w:ind w:right="282" w:rightChars="149"/>
              <w:rPr>
                <w:rFonts w:hint="default"/>
              </w:rPr>
            </w:pPr>
            <w:r>
              <w:rPr>
                <w:rFonts w:hint="eastAsia"/>
              </w:rPr>
              <w:t>日常的に寝返りが困難な者</w:t>
            </w:r>
          </w:p>
        </w:tc>
      </w:tr>
      <w:tr>
        <w:trPr/>
        <w:tc>
          <w:tcPr>
            <w:tcW w:w="2693" w:type="dxa"/>
            <w:vAlign w:val="top"/>
          </w:tcPr>
          <w:p>
            <w:pPr>
              <w:pStyle w:val="0"/>
              <w:ind w:right="282" w:rightChars="149"/>
              <w:rPr>
                <w:rFonts w:hint="default"/>
              </w:rPr>
            </w:pPr>
            <w:r>
              <w:rPr>
                <w:rFonts w:hint="eastAsia"/>
              </w:rPr>
              <w:t>認知症老人徘徊感知機器</w:t>
            </w:r>
          </w:p>
        </w:tc>
        <w:tc>
          <w:tcPr>
            <w:tcW w:w="6993" w:type="dxa"/>
            <w:vAlign w:val="top"/>
          </w:tcPr>
          <w:p>
            <w:pPr>
              <w:pStyle w:val="0"/>
              <w:ind w:right="282" w:rightChars="149"/>
              <w:rPr>
                <w:rFonts w:hint="default"/>
              </w:rPr>
            </w:pPr>
            <w:r>
              <w:rPr>
                <w:rFonts w:hint="eastAsia"/>
              </w:rPr>
              <w:t>次のいずれにも該当する者</w:t>
            </w:r>
          </w:p>
          <w:p>
            <w:pPr>
              <w:pStyle w:val="0"/>
              <w:ind w:left="568" w:right="282" w:rightChars="149" w:hanging="568" w:hangingChars="300"/>
              <w:rPr>
                <w:rFonts w:hint="default"/>
              </w:rPr>
            </w:pPr>
            <w:r>
              <w:rPr>
                <w:rFonts w:hint="eastAsia"/>
              </w:rPr>
              <w:t>（一）　意見の伝達、介護者への反応、記憶・理解のいずれかに支障がある者</w:t>
            </w:r>
          </w:p>
          <w:p>
            <w:pPr>
              <w:pStyle w:val="0"/>
              <w:ind w:left="568" w:right="108" w:rightChars="57" w:hanging="568" w:hangingChars="300"/>
              <w:rPr>
                <w:rFonts w:hint="default"/>
              </w:rPr>
            </w:pPr>
            <w:r>
              <w:rPr>
                <w:rFonts w:hint="eastAsia"/>
              </w:rPr>
              <w:t>（二）　移動において全介助を必要としない者</w:t>
            </w:r>
          </w:p>
        </w:tc>
      </w:tr>
      <w:tr>
        <w:trPr/>
        <w:tc>
          <w:tcPr>
            <w:tcW w:w="2693" w:type="dxa"/>
            <w:vAlign w:val="top"/>
          </w:tcPr>
          <w:p>
            <w:pPr>
              <w:pStyle w:val="0"/>
              <w:ind w:right="282" w:rightChars="149"/>
              <w:rPr>
                <w:rFonts w:hint="default"/>
              </w:rPr>
            </w:pPr>
            <w:r>
              <w:rPr>
                <w:rFonts w:hint="eastAsia"/>
              </w:rPr>
              <w:t>移動用リフト</w:t>
            </w:r>
          </w:p>
          <w:p>
            <w:pPr>
              <w:pStyle w:val="0"/>
              <w:ind w:right="282" w:rightChars="149"/>
              <w:rPr>
                <w:rFonts w:hint="default"/>
              </w:rPr>
            </w:pPr>
            <w:r>
              <w:rPr>
                <w:rFonts w:hint="eastAsia"/>
              </w:rPr>
              <w:t>（つり具の部分を除く）</w:t>
            </w:r>
          </w:p>
        </w:tc>
        <w:tc>
          <w:tcPr>
            <w:tcW w:w="6993" w:type="dxa"/>
            <w:vAlign w:val="top"/>
          </w:tcPr>
          <w:p>
            <w:pPr>
              <w:pStyle w:val="0"/>
              <w:ind w:right="282" w:rightChars="149"/>
              <w:rPr>
                <w:rFonts w:hint="default"/>
              </w:rPr>
            </w:pPr>
            <w:r>
              <w:rPr>
                <w:rFonts w:hint="eastAsia"/>
              </w:rPr>
              <w:t>次のいずれかに該当する者</w:t>
            </w:r>
          </w:p>
          <w:p>
            <w:pPr>
              <w:pStyle w:val="0"/>
              <w:ind w:right="282" w:rightChars="149"/>
              <w:rPr>
                <w:rFonts w:hint="default"/>
              </w:rPr>
            </w:pPr>
            <w:r>
              <w:rPr>
                <w:rFonts w:hint="eastAsia"/>
              </w:rPr>
              <w:t>（一）　日常的に立ち上がりが困難な者</w:t>
            </w:r>
          </w:p>
          <w:p>
            <w:pPr>
              <w:pStyle w:val="0"/>
              <w:ind w:left="568" w:right="282" w:rightChars="149" w:hanging="568" w:hangingChars="300"/>
              <w:rPr>
                <w:rFonts w:hint="default"/>
              </w:rPr>
            </w:pPr>
            <w:r>
              <w:rPr>
                <w:rFonts w:hint="eastAsia"/>
              </w:rPr>
              <w:t>（二）　移乗が一部介助又は全介助を必要とする者</w:t>
            </w:r>
          </w:p>
          <w:p>
            <w:pPr>
              <w:pStyle w:val="0"/>
              <w:ind w:left="568" w:right="282" w:rightChars="149" w:hanging="568" w:hangingChars="300"/>
              <w:rPr>
                <w:rFonts w:hint="default"/>
              </w:rPr>
            </w:pPr>
            <w:r>
              <w:rPr>
                <w:rFonts w:hint="eastAsia"/>
              </w:rPr>
              <w:t>（三）　生活環境において段差の解消が必要と認められる者</w:t>
            </w:r>
          </w:p>
        </w:tc>
      </w:tr>
      <w:tr>
        <w:trPr/>
        <w:tc>
          <w:tcPr>
            <w:tcW w:w="2693" w:type="dxa"/>
            <w:vAlign w:val="top"/>
          </w:tcPr>
          <w:p>
            <w:pPr>
              <w:pStyle w:val="0"/>
              <w:ind w:right="-114" w:rightChars="-60"/>
              <w:rPr>
                <w:rFonts w:hint="default"/>
              </w:rPr>
            </w:pPr>
            <w:r>
              <w:rPr>
                <w:rFonts w:hint="eastAsia"/>
              </w:rPr>
              <w:t>自動排泄処理装置</w:t>
            </w:r>
          </w:p>
        </w:tc>
        <w:tc>
          <w:tcPr>
            <w:tcW w:w="6993" w:type="dxa"/>
            <w:vAlign w:val="top"/>
          </w:tcPr>
          <w:p>
            <w:pPr>
              <w:pStyle w:val="0"/>
              <w:ind w:right="282" w:rightChars="149"/>
              <w:rPr>
                <w:rFonts w:hint="default"/>
              </w:rPr>
            </w:pPr>
            <w:r>
              <w:rPr>
                <w:rFonts w:hint="eastAsia"/>
              </w:rPr>
              <w:t>次のいずれにも該当する者</w:t>
            </w:r>
          </w:p>
          <w:p>
            <w:pPr>
              <w:pStyle w:val="0"/>
              <w:ind w:right="282" w:rightChars="149"/>
              <w:rPr>
                <w:rFonts w:hint="default"/>
              </w:rPr>
            </w:pPr>
            <w:r>
              <w:rPr>
                <w:rFonts w:hint="eastAsia"/>
              </w:rPr>
              <w:t>（一）　排便が全介助を必要とする者</w:t>
            </w:r>
          </w:p>
          <w:p>
            <w:pPr>
              <w:pStyle w:val="0"/>
              <w:ind w:right="282" w:rightChars="149"/>
              <w:rPr>
                <w:rFonts w:hint="default"/>
              </w:rPr>
            </w:pPr>
            <w:r>
              <w:rPr>
                <w:rFonts w:hint="eastAsia"/>
              </w:rPr>
              <w:t>（二）　移乗が全介助を必要とする者</w:t>
            </w:r>
          </w:p>
        </w:tc>
      </w:tr>
    </w:tbl>
    <w:p>
      <w:pPr>
        <w:pStyle w:val="0"/>
        <w:ind w:left="378" w:right="282" w:rightChars="149" w:hanging="378" w:hangingChars="200"/>
        <w:rPr>
          <w:rFonts w:hint="default"/>
        </w:rPr>
      </w:pPr>
    </w:p>
    <w:sectPr>
      <w:footerReference r:id="rId6" w:type="default"/>
      <w:pgSz w:w="11906" w:h="16838"/>
      <w:pgMar w:top="1418" w:right="567" w:bottom="284" w:left="1418" w:header="851" w:footer="284" w:gutter="0"/>
      <w:pgNumType w:fmt="numberInDash" w:start="6"/>
      <w:cols w:space="720"/>
      <w:textDirection w:val="lrTb"/>
      <w:docGrid w:type="linesAndChars" w:linePitch="268" w:charSpace="18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Ｐゴシック" w:hAnsi="ＭＳ Ｐゴシック" w:eastAsia="ＭＳ Ｐゴシック"/>
        <w:sz w:val="24"/>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E6F0EE"/>
    <w:lvl w:ilvl="0" w:tplc="278A61F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rFonts w:ascii="ＭＳ 明朝" w:hAnsi="ＭＳ 明朝"/>
      <w:kern w:val="2"/>
      <w:sz w:val="18"/>
    </w:rPr>
  </w:style>
  <w:style w:type="paragraph" w:styleId="18">
    <w:name w:val="Balloon Text"/>
    <w:basedOn w:val="0"/>
    <w:next w:val="18"/>
    <w:link w:val="19"/>
    <w:uiPriority w:val="0"/>
    <w:semiHidden/>
    <w:rPr>
      <w:rFonts w:ascii="Arial" w:hAnsi="Arial" w:eastAsia="ＭＳ ゴシック"/>
    </w:rPr>
  </w:style>
  <w:style w:type="character" w:styleId="19" w:customStyle="1">
    <w:name w:val="吹き出し (文字)"/>
    <w:next w:val="19"/>
    <w:link w:val="18"/>
    <w:uiPriority w:val="0"/>
    <w:rPr>
      <w:rFonts w:ascii="Arial" w:hAnsi="Arial" w:eastAsia="ＭＳ ゴシック"/>
      <w:kern w:val="2"/>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 Spacing"/>
    <w:next w:val="23"/>
    <w:link w:val="0"/>
    <w:uiPriority w:val="0"/>
    <w:qFormat/>
    <w:pPr>
      <w:widowControl w:val="0"/>
      <w:jc w:val="both"/>
    </w:pPr>
    <w:rPr/>
  </w:style>
  <w:style w:type="paragraph" w:styleId="24" w:customStyle="1">
    <w:name w:val="スタイル1"/>
    <w:basedOn w:val="23"/>
    <w:next w:val="24"/>
    <w:link w:val="0"/>
    <w:uiPriority w:val="0"/>
    <w:qFormat/>
    <w:pPr>
      <w:spacing w:line="240" w:lineRule="auto"/>
      <w:ind w:left="0" w:leftChars="0" w:right="0" w:rightChars="0" w:firstLine="0" w:firstLineChars="0"/>
    </w:pPr>
    <w:rPr>
      <w:sz w:val="16"/>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2</Pages>
  <Words>4</Words>
  <Characters>1957</Characters>
  <Application>JUST Note</Application>
  <Lines>463</Lines>
  <Paragraphs>106</Paragraphs>
  <CharactersWithSpaces>2060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五十嵐 良子</dc:creator>
  <cp:lastModifiedBy>五十嵐　良子</cp:lastModifiedBy>
  <cp:lastPrinted>2024-02-06T06:05:16Z</cp:lastPrinted>
  <dcterms:created xsi:type="dcterms:W3CDTF">2020-02-26T06:21:00Z</dcterms:created>
  <dcterms:modified xsi:type="dcterms:W3CDTF">2024-02-07T03:58:29Z</dcterms:modified>
  <cp:revision>32</cp:revision>
</cp:coreProperties>
</file>